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lang w:val="en-US" w:eastAsia="zh-CN"/>
        </w:rPr>
      </w:pPr>
      <w:r>
        <w:rPr>
          <w:rFonts w:hint="eastAsia"/>
          <w:lang w:val="en-US" w:eastAsia="zh-CN"/>
        </w:rPr>
        <w:t>附件：</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p>
    <w:p>
      <w:pPr>
        <w:widowControl/>
        <w:shd w:val="clear" w:color="auto" w:fill="FFFFFF"/>
        <w:spacing w:before="100" w:beforeAutospacing="1" w:after="100" w:afterAutospacing="1" w:line="360" w:lineRule="atLeast"/>
        <w:jc w:val="center"/>
        <w:outlineLvl w:val="0"/>
        <w:rPr>
          <w:rFonts w:hint="default" w:ascii="Times New Roman" w:hAnsi="Times New Roman" w:eastAsia="宋体" w:cs="Times New Roman"/>
          <w:b/>
          <w:bCs w:val="0"/>
          <w:color w:val="auto"/>
          <w:sz w:val="44"/>
          <w:szCs w:val="44"/>
        </w:rPr>
      </w:pPr>
      <w:bookmarkStart w:id="0" w:name="_GoBack"/>
      <w:r>
        <w:rPr>
          <w:rFonts w:hint="default" w:ascii="Times New Roman" w:hAnsi="Times New Roman" w:eastAsia="宋体" w:cs="Times New Roman"/>
          <w:b/>
          <w:bCs w:val="0"/>
          <w:color w:val="auto"/>
          <w:sz w:val="44"/>
          <w:szCs w:val="44"/>
        </w:rPr>
        <w:t>中山市博爱医院自行监测方案</w:t>
      </w:r>
    </w:p>
    <w:bookmarkEnd w:id="0"/>
    <w:p>
      <w:pPr>
        <w:widowControl/>
        <w:shd w:val="clear" w:color="auto" w:fill="FFFFFF"/>
        <w:spacing w:before="100" w:beforeAutospacing="1" w:after="100" w:afterAutospacing="1" w:line="360" w:lineRule="atLeast"/>
        <w:jc w:val="center"/>
        <w:outlineLvl w:val="0"/>
        <w:rPr>
          <w:rFonts w:hint="eastAsia" w:ascii="Times New Roman" w:hAnsi="Times New Roman" w:eastAsia="宋体" w:cs="Times New Roman"/>
          <w:color w:val="auto"/>
          <w:sz w:val="28"/>
          <w:szCs w:val="28"/>
          <w:lang w:eastAsia="zh-CN"/>
        </w:rPr>
      </w:pPr>
      <w:r>
        <w:rPr>
          <w:rFonts w:hint="default" w:ascii="Times New Roman" w:hAnsi="Times New Roman" w:eastAsia="宋体" w:cs="Times New Roman"/>
          <w:b/>
          <w:bCs w:val="0"/>
          <w:color w:val="auto"/>
          <w:sz w:val="44"/>
          <w:szCs w:val="44"/>
        </w:rPr>
        <w:t>(</w:t>
      </w:r>
      <w:r>
        <w:rPr>
          <w:rFonts w:hint="default" w:ascii="Times New Roman" w:hAnsi="Times New Roman" w:eastAsia="宋体" w:cs="Times New Roman"/>
          <w:b/>
          <w:bCs w:val="0"/>
          <w:color w:val="auto"/>
          <w:sz w:val="44"/>
          <w:szCs w:val="44"/>
          <w:lang w:val="en-US" w:eastAsia="zh-CN"/>
        </w:rPr>
        <w:t>BA202</w:t>
      </w:r>
      <w:r>
        <w:rPr>
          <w:rFonts w:hint="eastAsia" w:ascii="Times New Roman" w:hAnsi="Times New Roman" w:eastAsia="宋体" w:cs="Times New Roman"/>
          <w:b/>
          <w:bCs w:val="0"/>
          <w:color w:val="auto"/>
          <w:sz w:val="44"/>
          <w:szCs w:val="44"/>
          <w:lang w:val="en-US" w:eastAsia="zh-CN"/>
        </w:rPr>
        <w:t>3</w:t>
      </w:r>
      <w:r>
        <w:rPr>
          <w:rFonts w:hint="default" w:ascii="Times New Roman" w:hAnsi="Times New Roman" w:eastAsia="宋体" w:cs="Times New Roman"/>
          <w:b/>
          <w:bCs w:val="0"/>
          <w:color w:val="auto"/>
          <w:sz w:val="44"/>
          <w:szCs w:val="44"/>
          <w:lang w:val="en-US" w:eastAsia="zh-CN"/>
        </w:rPr>
        <w:t>-00</w:t>
      </w:r>
      <w:r>
        <w:rPr>
          <w:rFonts w:hint="eastAsia" w:ascii="Times New Roman" w:hAnsi="Times New Roman" w:eastAsia="宋体" w:cs="Times New Roman"/>
          <w:b/>
          <w:bCs w:val="0"/>
          <w:color w:val="auto"/>
          <w:sz w:val="44"/>
          <w:szCs w:val="44"/>
          <w:lang w:val="en-US" w:eastAsia="zh-CN"/>
        </w:rPr>
        <w:t>2</w:t>
      </w:r>
      <w:r>
        <w:rPr>
          <w:rFonts w:hint="default" w:ascii="Times New Roman" w:hAnsi="Times New Roman" w:eastAsia="宋体" w:cs="Times New Roman"/>
          <w:b/>
          <w:bCs w:val="0"/>
          <w:color w:val="auto"/>
          <w:sz w:val="44"/>
          <w:szCs w:val="44"/>
        </w:rPr>
        <w:t>)</w:t>
      </w:r>
    </w:p>
    <w:p>
      <w:pPr>
        <w:widowControl/>
        <w:shd w:val="clear" w:color="auto" w:fill="FFFFFF"/>
        <w:spacing w:before="100" w:beforeAutospacing="1" w:after="100" w:afterAutospacing="1"/>
        <w:rPr>
          <w:rFonts w:hint="eastAsia" w:ascii="Times New Roman" w:hAnsi="Times New Roman" w:eastAsia="宋体" w:cs="Times New Roman"/>
          <w:color w:val="auto"/>
          <w:sz w:val="28"/>
          <w:szCs w:val="28"/>
          <w:lang w:eastAsia="zh-CN"/>
        </w:rPr>
      </w:pPr>
    </w:p>
    <w:p>
      <w:pPr>
        <w:widowControl/>
        <w:shd w:val="clear" w:color="auto" w:fill="FFFFFF"/>
        <w:spacing w:before="100" w:beforeAutospacing="1" w:after="100" w:afterAutospacing="1" w:line="360" w:lineRule="atLeast"/>
        <w:jc w:val="center"/>
        <w:rPr>
          <w:rFonts w:hint="default" w:ascii="Times New Roman" w:hAnsi="Times New Roman" w:eastAsia="宋体" w:cs="Times New Roman"/>
          <w:b/>
          <w:bCs/>
          <w:color w:val="auto"/>
          <w:sz w:val="28"/>
          <w:szCs w:val="28"/>
        </w:rPr>
      </w:pPr>
    </w:p>
    <w:p>
      <w:pPr>
        <w:widowControl/>
        <w:shd w:val="clear" w:color="auto" w:fill="FFFFFF"/>
        <w:spacing w:before="100" w:beforeAutospacing="1" w:after="100" w:afterAutospacing="1" w:line="360" w:lineRule="atLeast"/>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 xml:space="preserve">  </w:t>
      </w:r>
    </w:p>
    <w:p>
      <w:pPr>
        <w:widowControl/>
        <w:shd w:val="clear" w:color="auto" w:fill="FFFFFF"/>
        <w:spacing w:before="100" w:beforeAutospacing="1" w:after="100" w:afterAutospacing="1"/>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color w:val="auto"/>
          <w:sz w:val="28"/>
          <w:szCs w:val="28"/>
          <w:lang w:val="en-US" w:eastAsia="zh-CN"/>
        </w:rPr>
        <w:t>202</w:t>
      </w:r>
      <w:r>
        <w:rPr>
          <w:rFonts w:hint="eastAsia" w:ascii="Times New Roman" w:hAnsi="Times New Roman" w:eastAsia="宋体" w:cs="Times New Roman"/>
          <w:b/>
          <w:color w:val="auto"/>
          <w:sz w:val="28"/>
          <w:szCs w:val="28"/>
          <w:lang w:val="en-US" w:eastAsia="zh-CN"/>
        </w:rPr>
        <w:t>3</w:t>
      </w:r>
      <w:r>
        <w:rPr>
          <w:rFonts w:hint="default" w:ascii="Times New Roman" w:hAnsi="Times New Roman" w:eastAsia="宋体" w:cs="Times New Roman"/>
          <w:b/>
          <w:bCs/>
          <w:color w:val="auto"/>
          <w:sz w:val="28"/>
          <w:szCs w:val="28"/>
        </w:rPr>
        <w:t>年</w:t>
      </w:r>
      <w:r>
        <w:rPr>
          <w:rFonts w:hint="eastAsia" w:ascii="Times New Roman" w:hAnsi="Times New Roman" w:eastAsia="宋体" w:cs="Times New Roman"/>
          <w:b/>
          <w:bCs/>
          <w:color w:val="auto"/>
          <w:sz w:val="28"/>
          <w:szCs w:val="28"/>
          <w:lang w:val="en-US" w:eastAsia="zh-CN"/>
        </w:rPr>
        <w:t>07</w:t>
      </w:r>
      <w:r>
        <w:rPr>
          <w:rFonts w:hint="default" w:ascii="Times New Roman" w:hAnsi="Times New Roman" w:eastAsia="宋体" w:cs="Times New Roman"/>
          <w:b/>
          <w:bCs/>
          <w:color w:val="auto"/>
          <w:sz w:val="28"/>
          <w:szCs w:val="28"/>
          <w:lang w:val="en-US" w:eastAsia="zh-CN"/>
        </w:rPr>
        <w:t>月</w:t>
      </w:r>
      <w:r>
        <w:rPr>
          <w:rFonts w:hint="eastAsia" w:ascii="Times New Roman" w:hAnsi="Times New Roman" w:eastAsia="宋体" w:cs="Times New Roman"/>
          <w:b/>
          <w:bCs/>
          <w:color w:val="auto"/>
          <w:sz w:val="28"/>
          <w:szCs w:val="28"/>
          <w:lang w:val="en-US" w:eastAsia="zh-CN"/>
        </w:rPr>
        <w:t>26</w:t>
      </w:r>
      <w:r>
        <w:rPr>
          <w:rFonts w:hint="default" w:ascii="Times New Roman" w:hAnsi="Times New Roman" w:eastAsia="宋体" w:cs="Times New Roman"/>
          <w:b/>
          <w:bCs/>
          <w:color w:val="auto"/>
          <w:sz w:val="28"/>
          <w:szCs w:val="28"/>
        </w:rPr>
        <w:t>日</w:t>
      </w:r>
    </w:p>
    <w:p>
      <w:pPr>
        <w:widowControl/>
        <w:shd w:val="clear" w:color="auto" w:fill="FFFFFF"/>
        <w:spacing w:before="100" w:beforeAutospacing="1" w:after="100" w:afterAutospacing="1"/>
        <w:jc w:val="both"/>
        <w:rPr>
          <w:rFonts w:hint="default" w:ascii="Times New Roman" w:hAnsi="Times New Roman" w:eastAsia="宋体" w:cs="Times New Roman"/>
          <w:b/>
          <w:bCs/>
          <w:color w:val="auto"/>
          <w:sz w:val="28"/>
          <w:szCs w:val="28"/>
        </w:rPr>
      </w:pPr>
    </w:p>
    <w:p>
      <w:pPr>
        <w:widowControl/>
        <w:shd w:val="clear" w:color="auto" w:fill="FFFFFF"/>
        <w:spacing w:before="100" w:beforeAutospacing="1" w:after="100" w:afterAutospacing="1"/>
        <w:jc w:val="both"/>
        <w:rPr>
          <w:rFonts w:hint="default" w:ascii="Times New Roman" w:hAnsi="Times New Roman" w:eastAsia="宋体" w:cs="Times New Roman"/>
          <w:b/>
          <w:bCs/>
          <w:color w:val="auto"/>
          <w:sz w:val="28"/>
          <w:szCs w:val="28"/>
        </w:rPr>
      </w:pPr>
    </w:p>
    <w:p>
      <w:pPr>
        <w:widowControl/>
        <w:shd w:val="clear" w:color="auto" w:fill="FFFFFF"/>
        <w:spacing w:before="156" w:beforeLines="50" w:line="360" w:lineRule="auto"/>
        <w:ind w:firstLine="551" w:firstLineChars="196"/>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1、企业基本情况</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企业名称：中山市博爱医院</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法人代表：</w:t>
      </w:r>
      <w:r>
        <w:rPr>
          <w:rFonts w:hint="default" w:ascii="Times New Roman" w:hAnsi="Times New Roman" w:eastAsia="宋体" w:cs="Times New Roman"/>
          <w:color w:val="auto"/>
          <w:kern w:val="0"/>
          <w:sz w:val="28"/>
          <w:szCs w:val="28"/>
          <w:lang w:val="en-US" w:eastAsia="zh-CN" w:bidi="ar"/>
        </w:rPr>
        <w:t>高建慧</w:t>
      </w:r>
    </w:p>
    <w:p>
      <w:pPr>
        <w:keepNext w:val="0"/>
        <w:keepLines w:val="0"/>
        <w:widowControl/>
        <w:suppressLineNumbers w:val="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所属行业：</w:t>
      </w:r>
      <w:r>
        <w:rPr>
          <w:rFonts w:hint="default" w:ascii="Times New Roman" w:hAnsi="Times New Roman" w:eastAsia="宋体" w:cs="Times New Roman"/>
          <w:color w:val="auto"/>
          <w:kern w:val="0"/>
          <w:sz w:val="28"/>
          <w:szCs w:val="28"/>
          <w:lang w:val="en-US" w:eastAsia="zh-CN" w:bidi="ar"/>
        </w:rPr>
        <w:t>综合医院，热力生产和供应</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生产周期：</w:t>
      </w:r>
      <w:r>
        <w:rPr>
          <w:rFonts w:hint="default" w:ascii="Times New Roman" w:hAnsi="Times New Roman" w:eastAsia="宋体" w:cs="Times New Roman"/>
          <w:color w:val="auto"/>
          <w:sz w:val="28"/>
          <w:szCs w:val="28"/>
          <w:lang w:val="en-US" w:eastAsia="zh-CN"/>
        </w:rPr>
        <w:t>365天/年，24小时/天</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地址：中山市城桂路6号</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联系人：乐小立</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联系电话：</w:t>
      </w:r>
      <w:r>
        <w:rPr>
          <w:rFonts w:hint="eastAsia" w:ascii="Times New Roman" w:hAnsi="Times New Roman" w:eastAsia="宋体" w:cs="Times New Roman"/>
          <w:color w:val="auto"/>
          <w:sz w:val="28"/>
          <w:szCs w:val="28"/>
          <w:lang w:val="en-US" w:eastAsia="zh-CN"/>
        </w:rPr>
        <w:t>02088776220</w:t>
      </w:r>
    </w:p>
    <w:p>
      <w:pPr>
        <w:widowControl/>
        <w:shd w:val="clear" w:color="auto" w:fill="FFFFFF"/>
        <w:spacing w:before="156" w:beforeLines="50" w:line="360" w:lineRule="auto"/>
        <w:ind w:firstLine="560"/>
        <w:rPr>
          <w:rFonts w:hint="eastAsia"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电子邮箱：</w:t>
      </w:r>
      <w:r>
        <w:rPr>
          <w:rFonts w:hint="eastAsia" w:ascii="Times New Roman" w:hAnsi="Times New Roman" w:eastAsia="宋体" w:cs="Times New Roman"/>
          <w:color w:val="auto"/>
          <w:sz w:val="28"/>
          <w:szCs w:val="28"/>
          <w:lang w:val="en-US" w:eastAsia="zh-CN"/>
        </w:rPr>
        <w:t>/</w:t>
      </w:r>
    </w:p>
    <w:p>
      <w:pPr>
        <w:widowControl/>
        <w:shd w:val="clear" w:color="auto" w:fill="FFFFFF"/>
        <w:spacing w:before="156" w:beforeLines="50" w:line="360" w:lineRule="auto"/>
        <w:ind w:firstLine="560"/>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产品规模、生产工艺及产排污情况</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560" w:firstLineChars="200"/>
        <w:jc w:val="left"/>
        <w:textAlignment w:val="baseline"/>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产品规模：</w:t>
      </w:r>
      <w:r>
        <w:rPr>
          <w:rFonts w:hint="default" w:ascii="Times New Roman" w:hAnsi="Times New Roman" w:eastAsia="宋体" w:cs="Times New Roman"/>
          <w:color w:val="auto"/>
          <w:kern w:val="0"/>
          <w:sz w:val="28"/>
          <w:szCs w:val="28"/>
          <w:lang w:val="en-US" w:eastAsia="zh-CN" w:bidi="ar"/>
        </w:rPr>
        <w:t xml:space="preserve">医院现有用地面积 17.68 万平方米，总建筑面积约 </w:t>
      </w:r>
      <w:r>
        <w:rPr>
          <w:rFonts w:hint="eastAsia" w:ascii="Times New Roman" w:hAnsi="Times New Roman" w:eastAsia="宋体" w:cs="Times New Roman"/>
          <w:color w:val="auto"/>
          <w:kern w:val="0"/>
          <w:sz w:val="28"/>
          <w:szCs w:val="28"/>
          <w:lang w:val="en-US" w:eastAsia="zh-CN" w:bidi="ar"/>
        </w:rPr>
        <w:t>12.57</w:t>
      </w:r>
      <w:r>
        <w:rPr>
          <w:rFonts w:hint="default" w:ascii="Times New Roman" w:hAnsi="Times New Roman" w:eastAsia="宋体" w:cs="Times New Roman"/>
          <w:color w:val="auto"/>
          <w:kern w:val="0"/>
          <w:sz w:val="28"/>
          <w:szCs w:val="28"/>
          <w:lang w:val="en-US" w:eastAsia="zh-CN" w:bidi="ar"/>
        </w:rPr>
        <w:t xml:space="preserve"> 万平方米，建有门诊大楼、住院大楼、医技大楼、综合服务楼群、儿科大楼、生殖大楼、教学大楼</w:t>
      </w:r>
      <w:r>
        <w:rPr>
          <w:rFonts w:hint="eastAsia" w:ascii="Times New Roman" w:hAnsi="Times New Roman" w:eastAsia="宋体" w:cs="Times New Roman"/>
          <w:color w:val="auto"/>
          <w:kern w:val="0"/>
          <w:sz w:val="28"/>
          <w:szCs w:val="28"/>
          <w:lang w:val="en-US" w:eastAsia="zh-CN" w:bidi="ar"/>
        </w:rPr>
        <w:t>、妇产科大楼</w:t>
      </w:r>
      <w:r>
        <w:rPr>
          <w:rFonts w:hint="default" w:ascii="Times New Roman" w:hAnsi="Times New Roman" w:eastAsia="宋体" w:cs="Times New Roman"/>
          <w:color w:val="auto"/>
          <w:kern w:val="0"/>
          <w:sz w:val="28"/>
          <w:szCs w:val="28"/>
          <w:lang w:val="en-US" w:eastAsia="zh-CN" w:bidi="ar"/>
        </w:rPr>
        <w:t>等。核定床位 1</w:t>
      </w:r>
      <w:r>
        <w:rPr>
          <w:rFonts w:hint="eastAsia" w:ascii="Times New Roman" w:hAnsi="Times New Roman" w:eastAsia="宋体" w:cs="Times New Roman"/>
          <w:color w:val="auto"/>
          <w:kern w:val="0"/>
          <w:sz w:val="28"/>
          <w:szCs w:val="28"/>
          <w:lang w:val="en-US" w:eastAsia="zh-CN" w:bidi="ar"/>
        </w:rPr>
        <w:t>0</w:t>
      </w:r>
      <w:r>
        <w:rPr>
          <w:rFonts w:hint="default" w:ascii="Times New Roman" w:hAnsi="Times New Roman" w:eastAsia="宋体" w:cs="Times New Roman"/>
          <w:color w:val="auto"/>
          <w:kern w:val="0"/>
          <w:sz w:val="28"/>
          <w:szCs w:val="28"/>
          <w:lang w:val="en-US" w:eastAsia="zh-CN" w:bidi="ar"/>
        </w:rPr>
        <w:t>00 张，现有职工 1</w:t>
      </w:r>
      <w:r>
        <w:rPr>
          <w:rFonts w:hint="eastAsia" w:ascii="Times New Roman" w:hAnsi="Times New Roman" w:eastAsia="宋体" w:cs="Times New Roman"/>
          <w:color w:val="auto"/>
          <w:kern w:val="0"/>
          <w:sz w:val="28"/>
          <w:szCs w:val="28"/>
          <w:lang w:val="en-US" w:eastAsia="zh-CN" w:bidi="ar"/>
        </w:rPr>
        <w:t>844</w:t>
      </w:r>
      <w:r>
        <w:rPr>
          <w:rFonts w:hint="default" w:ascii="Times New Roman" w:hAnsi="Times New Roman" w:eastAsia="宋体" w:cs="Times New Roman"/>
          <w:color w:val="auto"/>
          <w:kern w:val="0"/>
          <w:sz w:val="28"/>
          <w:szCs w:val="28"/>
          <w:lang w:val="en-US" w:eastAsia="zh-CN" w:bidi="ar"/>
        </w:rPr>
        <w:t>人，卫技人员占 8</w:t>
      </w:r>
      <w:r>
        <w:rPr>
          <w:rFonts w:hint="eastAsia" w:ascii="Times New Roman" w:hAnsi="Times New Roman" w:eastAsia="宋体" w:cs="Times New Roman"/>
          <w:color w:val="auto"/>
          <w:kern w:val="0"/>
          <w:sz w:val="28"/>
          <w:szCs w:val="28"/>
          <w:lang w:val="en-US" w:eastAsia="zh-CN" w:bidi="ar"/>
        </w:rPr>
        <w:t>7</w:t>
      </w:r>
      <w:r>
        <w:rPr>
          <w:rFonts w:hint="default" w:ascii="Times New Roman" w:hAnsi="Times New Roman" w:eastAsia="宋体" w:cs="Times New Roman"/>
          <w:color w:val="auto"/>
          <w:kern w:val="0"/>
          <w:sz w:val="28"/>
          <w:szCs w:val="28"/>
          <w:lang w:val="en-US" w:eastAsia="zh-CN" w:bidi="ar"/>
        </w:rPr>
        <w:t xml:space="preserve">%以上，年门急诊量 </w:t>
      </w:r>
      <w:r>
        <w:rPr>
          <w:rFonts w:hint="eastAsia" w:ascii="Times New Roman" w:hAnsi="Times New Roman" w:eastAsia="宋体" w:cs="Times New Roman"/>
          <w:color w:val="auto"/>
          <w:kern w:val="0"/>
          <w:sz w:val="28"/>
          <w:szCs w:val="28"/>
          <w:lang w:val="en-US" w:eastAsia="zh-CN" w:bidi="ar"/>
        </w:rPr>
        <w:t>193</w:t>
      </w:r>
      <w:r>
        <w:rPr>
          <w:rFonts w:hint="default" w:ascii="Times New Roman" w:hAnsi="Times New Roman" w:eastAsia="宋体" w:cs="Times New Roman"/>
          <w:color w:val="auto"/>
          <w:kern w:val="0"/>
          <w:sz w:val="28"/>
          <w:szCs w:val="28"/>
          <w:lang w:val="en-US" w:eastAsia="zh-CN" w:bidi="ar"/>
        </w:rPr>
        <w:t xml:space="preserve"> 万人次，年出院人数 5 万人次，年手术 2.</w:t>
      </w:r>
      <w:r>
        <w:rPr>
          <w:rFonts w:hint="eastAsia" w:ascii="Times New Roman" w:hAnsi="Times New Roman" w:eastAsia="宋体" w:cs="Times New Roman"/>
          <w:color w:val="auto"/>
          <w:kern w:val="0"/>
          <w:sz w:val="28"/>
          <w:szCs w:val="28"/>
          <w:lang w:val="en-US" w:eastAsia="zh-CN" w:bidi="ar"/>
        </w:rPr>
        <w:t>3</w:t>
      </w:r>
      <w:r>
        <w:rPr>
          <w:rFonts w:hint="default" w:ascii="Times New Roman" w:hAnsi="Times New Roman" w:eastAsia="宋体" w:cs="Times New Roman"/>
          <w:color w:val="auto"/>
          <w:kern w:val="0"/>
          <w:sz w:val="28"/>
          <w:szCs w:val="28"/>
          <w:lang w:val="en-US" w:eastAsia="zh-CN" w:bidi="ar"/>
        </w:rPr>
        <w:t xml:space="preserve"> 万人次。 </w:t>
      </w:r>
    </w:p>
    <w:p>
      <w:pPr>
        <w:tabs>
          <w:tab w:val="left" w:pos="-180"/>
          <w:tab w:val="left" w:pos="0"/>
          <w:tab w:val="left" w:pos="1440"/>
        </w:tabs>
        <w:snapToGrid w:val="0"/>
        <w:spacing w:line="480" w:lineRule="exact"/>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 xml:space="preserve">表2-1辅助设施信息表 </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907"/>
        <w:gridCol w:w="1975"/>
        <w:gridCol w:w="1448"/>
        <w:gridCol w:w="9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序号</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组成部分</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建筑面积（m</w:t>
            </w:r>
            <w:r>
              <w:rPr>
                <w:rFonts w:hint="default" w:ascii="Times New Roman" w:hAnsi="Times New Roman" w:eastAsia="宋体" w:cs="Times New Roman"/>
                <w:color w:val="auto"/>
                <w:sz w:val="28"/>
                <w:szCs w:val="28"/>
                <w:vertAlign w:val="superscript"/>
              </w:rPr>
              <w:t>2</w:t>
            </w:r>
            <w:r>
              <w:rPr>
                <w:rFonts w:hint="default" w:ascii="Times New Roman" w:hAnsi="Times New Roman" w:eastAsia="宋体" w:cs="Times New Roman"/>
                <w:color w:val="auto"/>
                <w:sz w:val="28"/>
                <w:szCs w:val="28"/>
              </w:rPr>
              <w:t>）</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用地面积（m</w:t>
            </w:r>
            <w:r>
              <w:rPr>
                <w:rFonts w:hint="default" w:ascii="Times New Roman" w:hAnsi="Times New Roman" w:eastAsia="宋体" w:cs="Times New Roman"/>
                <w:color w:val="auto"/>
                <w:sz w:val="28"/>
                <w:szCs w:val="28"/>
                <w:vertAlign w:val="superscript"/>
              </w:rPr>
              <w:t>2</w:t>
            </w:r>
            <w:r>
              <w:rPr>
                <w:rFonts w:hint="default" w:ascii="Times New Roman" w:hAnsi="Times New Roman" w:eastAsia="宋体" w:cs="Times New Roman"/>
                <w:color w:val="auto"/>
                <w:sz w:val="28"/>
                <w:szCs w:val="28"/>
              </w:rPr>
              <w:t>）</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楼层数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综合楼</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5487</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1829</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门诊楼</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13759</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8600</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住院楼</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20788</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3465</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儿科大楼</w:t>
            </w:r>
          </w:p>
        </w:tc>
        <w:tc>
          <w:tcPr>
            <w:tcW w:w="1975" w:type="dxa"/>
            <w:noWrap w:val="0"/>
            <w:vAlign w:val="center"/>
          </w:tcPr>
          <w:p>
            <w:pPr>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lang w:bidi="ar"/>
              </w:rPr>
              <w:t>20000</w:t>
            </w:r>
          </w:p>
        </w:tc>
        <w:tc>
          <w:tcPr>
            <w:tcW w:w="1448" w:type="dxa"/>
            <w:noWrap w:val="0"/>
            <w:vAlign w:val="center"/>
          </w:tcPr>
          <w:p>
            <w:pPr>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lang w:bidi="ar"/>
              </w:rPr>
              <w:t>1666</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生殖大楼</w:t>
            </w:r>
          </w:p>
        </w:tc>
        <w:tc>
          <w:tcPr>
            <w:tcW w:w="1975" w:type="dxa"/>
            <w:noWrap w:val="0"/>
            <w:vAlign w:val="center"/>
          </w:tcPr>
          <w:p>
            <w:pPr>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lang w:bidi="ar"/>
              </w:rPr>
              <w:t>11539</w:t>
            </w:r>
          </w:p>
        </w:tc>
        <w:tc>
          <w:tcPr>
            <w:tcW w:w="1448" w:type="dxa"/>
            <w:noWrap w:val="0"/>
            <w:vAlign w:val="center"/>
          </w:tcPr>
          <w:p>
            <w:pPr>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lang w:bidi="ar"/>
              </w:rPr>
              <w:t>2525</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6</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医技楼</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10022</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2004</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7</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教学大楼</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5359.68</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2500</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8</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护士楼</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4591</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1640</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9</w:t>
            </w:r>
          </w:p>
        </w:tc>
        <w:tc>
          <w:tcPr>
            <w:tcW w:w="1907"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宿舍楼（2栋）</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3854</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1378</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10</w:t>
            </w:r>
          </w:p>
        </w:tc>
        <w:tc>
          <w:tcPr>
            <w:tcW w:w="1907" w:type="dxa"/>
            <w:noWrap w:val="0"/>
            <w:vAlign w:val="center"/>
          </w:tcPr>
          <w:p>
            <w:pPr>
              <w:adjustRightInd w:val="0"/>
              <w:snapToGrid w:val="0"/>
              <w:spacing w:line="340" w:lineRule="exact"/>
              <w:jc w:val="center"/>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妇产科大楼</w:t>
            </w:r>
          </w:p>
        </w:tc>
        <w:tc>
          <w:tcPr>
            <w:tcW w:w="1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29859.5</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6500</w:t>
            </w:r>
          </w:p>
        </w:tc>
        <w:tc>
          <w:tcPr>
            <w:tcW w:w="976"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11</w:t>
            </w:r>
          </w:p>
        </w:tc>
        <w:tc>
          <w:tcPr>
            <w:tcW w:w="1907" w:type="dxa"/>
            <w:noWrap w:val="0"/>
            <w:vAlign w:val="center"/>
          </w:tcPr>
          <w:p>
            <w:pPr>
              <w:widowControl/>
              <w:jc w:val="center"/>
              <w:textAlignment w:val="center"/>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color w:val="auto"/>
                <w:kern w:val="0"/>
                <w:sz w:val="28"/>
                <w:szCs w:val="28"/>
                <w:lang w:bidi="ar"/>
              </w:rPr>
              <w:t>污水站</w:t>
            </w:r>
          </w:p>
        </w:tc>
        <w:tc>
          <w:tcPr>
            <w:tcW w:w="1975" w:type="dxa"/>
            <w:noWrap w:val="0"/>
            <w:vAlign w:val="center"/>
          </w:tcPr>
          <w:p>
            <w:pPr>
              <w:widowControl/>
              <w:jc w:val="center"/>
              <w:textAlignment w:val="center"/>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color w:val="auto"/>
                <w:kern w:val="0"/>
                <w:sz w:val="28"/>
                <w:szCs w:val="28"/>
                <w:lang w:bidi="ar"/>
              </w:rPr>
              <w:t>99.75</w:t>
            </w:r>
          </w:p>
        </w:tc>
        <w:tc>
          <w:tcPr>
            <w:tcW w:w="1448" w:type="dxa"/>
            <w:noWrap w:val="0"/>
            <w:vAlign w:val="center"/>
          </w:tcPr>
          <w:p>
            <w:pPr>
              <w:widowControl/>
              <w:jc w:val="center"/>
              <w:textAlignment w:val="center"/>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color w:val="auto"/>
                <w:kern w:val="0"/>
                <w:sz w:val="28"/>
                <w:szCs w:val="28"/>
                <w:lang w:bidi="ar"/>
              </w:rPr>
              <w:t>99.75</w:t>
            </w:r>
          </w:p>
        </w:tc>
        <w:tc>
          <w:tcPr>
            <w:tcW w:w="976" w:type="dxa"/>
            <w:noWrap w:val="0"/>
            <w:vAlign w:val="center"/>
          </w:tcPr>
          <w:p>
            <w:pPr>
              <w:adjustRightInd w:val="0"/>
              <w:snapToGrid w:val="0"/>
              <w:spacing w:line="340" w:lineRule="exact"/>
              <w:jc w:val="center"/>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12</w:t>
            </w:r>
          </w:p>
        </w:tc>
        <w:tc>
          <w:tcPr>
            <w:tcW w:w="1907" w:type="dxa"/>
            <w:noWrap w:val="0"/>
            <w:vAlign w:val="center"/>
          </w:tcPr>
          <w:p>
            <w:pPr>
              <w:widowControl/>
              <w:jc w:val="center"/>
              <w:textAlignment w:val="center"/>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color w:val="auto"/>
                <w:sz w:val="28"/>
                <w:szCs w:val="28"/>
              </w:rPr>
              <w:t>锅炉房</w:t>
            </w:r>
          </w:p>
        </w:tc>
        <w:tc>
          <w:tcPr>
            <w:tcW w:w="1975" w:type="dxa"/>
            <w:noWrap w:val="0"/>
            <w:vAlign w:val="center"/>
          </w:tcPr>
          <w:p>
            <w:pPr>
              <w:widowControl/>
              <w:jc w:val="center"/>
              <w:textAlignment w:val="center"/>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color w:val="auto"/>
                <w:kern w:val="0"/>
                <w:sz w:val="28"/>
                <w:szCs w:val="28"/>
                <w:lang w:bidi="ar"/>
              </w:rPr>
              <w:t>270</w:t>
            </w:r>
          </w:p>
        </w:tc>
        <w:tc>
          <w:tcPr>
            <w:tcW w:w="1448" w:type="dxa"/>
            <w:noWrap w:val="0"/>
            <w:vAlign w:val="center"/>
          </w:tcPr>
          <w:p>
            <w:pPr>
              <w:widowControl/>
              <w:jc w:val="center"/>
              <w:textAlignment w:val="center"/>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color w:val="auto"/>
                <w:kern w:val="0"/>
                <w:sz w:val="28"/>
                <w:szCs w:val="28"/>
                <w:lang w:bidi="ar"/>
              </w:rPr>
              <w:t>270</w:t>
            </w:r>
          </w:p>
        </w:tc>
        <w:tc>
          <w:tcPr>
            <w:tcW w:w="976" w:type="dxa"/>
            <w:noWrap w:val="0"/>
            <w:vAlign w:val="center"/>
          </w:tcPr>
          <w:p>
            <w:pPr>
              <w:adjustRightInd w:val="0"/>
              <w:snapToGrid w:val="0"/>
              <w:spacing w:line="340" w:lineRule="exact"/>
              <w:jc w:val="center"/>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13</w:t>
            </w:r>
          </w:p>
        </w:tc>
        <w:tc>
          <w:tcPr>
            <w:tcW w:w="1907" w:type="dxa"/>
            <w:noWrap w:val="0"/>
            <w:vAlign w:val="center"/>
          </w:tcPr>
          <w:p>
            <w:pPr>
              <w:widowControl/>
              <w:jc w:val="center"/>
              <w:textAlignment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医废暂存间</w:t>
            </w:r>
          </w:p>
        </w:tc>
        <w:tc>
          <w:tcPr>
            <w:tcW w:w="1975" w:type="dxa"/>
            <w:noWrap w:val="0"/>
            <w:vAlign w:val="center"/>
          </w:tcPr>
          <w:p>
            <w:pPr>
              <w:widowControl/>
              <w:jc w:val="center"/>
              <w:textAlignment w:val="center"/>
              <w:rPr>
                <w:rFonts w:hint="default" w:ascii="Times New Roman" w:hAnsi="Times New Roman" w:eastAsia="宋体" w:cs="Times New Roman"/>
                <w:color w:val="auto"/>
                <w:kern w:val="0"/>
                <w:sz w:val="28"/>
                <w:szCs w:val="28"/>
                <w:lang w:val="en-US" w:eastAsia="zh-CN" w:bidi="ar"/>
              </w:rPr>
            </w:pPr>
            <w:r>
              <w:rPr>
                <w:rFonts w:hint="eastAsia" w:ascii="Times New Roman" w:hAnsi="Times New Roman" w:eastAsia="宋体" w:cs="Times New Roman"/>
                <w:color w:val="auto"/>
                <w:kern w:val="0"/>
                <w:sz w:val="28"/>
                <w:szCs w:val="28"/>
                <w:lang w:val="en-US" w:eastAsia="zh-CN" w:bidi="ar"/>
              </w:rPr>
              <w:t>78</w:t>
            </w:r>
          </w:p>
        </w:tc>
        <w:tc>
          <w:tcPr>
            <w:tcW w:w="1448" w:type="dxa"/>
            <w:noWrap w:val="0"/>
            <w:vAlign w:val="center"/>
          </w:tcPr>
          <w:p>
            <w:pPr>
              <w:adjustRightInd w:val="0"/>
              <w:snapToGrid w:val="0"/>
              <w:spacing w:line="340" w:lineRule="exact"/>
              <w:jc w:val="center"/>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78</w:t>
            </w:r>
          </w:p>
        </w:tc>
        <w:tc>
          <w:tcPr>
            <w:tcW w:w="976" w:type="dxa"/>
            <w:noWrap w:val="0"/>
            <w:vAlign w:val="center"/>
          </w:tcPr>
          <w:p>
            <w:pPr>
              <w:adjustRightInd w:val="0"/>
              <w:snapToGrid w:val="0"/>
              <w:spacing w:line="340" w:lineRule="exact"/>
              <w:jc w:val="center"/>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w:t>
            </w:r>
          </w:p>
        </w:tc>
      </w:tr>
    </w:tbl>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r>
        <w:rPr>
          <w:rFonts w:hint="default" w:ascii="Times New Roman" w:hAnsi="Times New Roman" w:eastAsia="宋体" w:cs="Times New Roman"/>
          <w:color w:val="auto"/>
          <w:sz w:val="28"/>
          <w:szCs w:val="28"/>
        </w:rPr>
        <w:t>生产工艺：</w:t>
      </w:r>
    </w:p>
    <w:p>
      <w:pPr>
        <w:widowControl/>
        <w:shd w:val="clear" w:color="auto" w:fill="FFFFFF"/>
        <w:spacing w:before="156" w:beforeLines="50" w:line="360" w:lineRule="auto"/>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drawing>
          <wp:inline distT="0" distB="0" distL="114300" distR="114300">
            <wp:extent cx="4572000" cy="490537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4572000" cy="4905375"/>
                    </a:xfrm>
                    <a:prstGeom prst="rect">
                      <a:avLst/>
                    </a:prstGeom>
                    <a:noFill/>
                    <a:ln>
                      <a:noFill/>
                    </a:ln>
                  </pic:spPr>
                </pic:pic>
              </a:graphicData>
            </a:graphic>
          </wp:inline>
        </w:drawing>
      </w:r>
    </w:p>
    <w:p>
      <w:pPr>
        <w:widowControl/>
        <w:shd w:val="clear" w:color="auto" w:fill="FFFFFF"/>
        <w:spacing w:before="156" w:beforeLines="50" w:line="360" w:lineRule="auto"/>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生产工艺流程图</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产排污情况</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rPr>
        <w:t>个</w:t>
      </w:r>
      <w:r>
        <w:rPr>
          <w:rFonts w:hint="default" w:ascii="Times New Roman" w:hAnsi="Times New Roman" w:eastAsia="宋体" w:cs="Times New Roman"/>
          <w:color w:val="auto"/>
          <w:sz w:val="28"/>
          <w:szCs w:val="28"/>
          <w:lang w:val="en-US" w:eastAsia="zh-CN"/>
        </w:rPr>
        <w:t>燃天然气锅炉</w:t>
      </w:r>
      <w:r>
        <w:rPr>
          <w:rFonts w:hint="default" w:ascii="Times New Roman" w:hAnsi="Times New Roman" w:eastAsia="宋体" w:cs="Times New Roman"/>
          <w:color w:val="auto"/>
          <w:sz w:val="28"/>
          <w:szCs w:val="28"/>
        </w:rPr>
        <w:t>废气排放口</w:t>
      </w:r>
      <w:r>
        <w:rPr>
          <w:rFonts w:hint="eastAsia" w:ascii="Times New Roman" w:hAnsi="Times New Roman" w:eastAsia="宋体" w:cs="Times New Roman"/>
          <w:color w:val="auto"/>
          <w:sz w:val="28"/>
          <w:szCs w:val="28"/>
          <w:lang w:val="en-US" w:eastAsia="zh-CN"/>
        </w:rPr>
        <w:t>DA001</w:t>
      </w:r>
      <w:r>
        <w:rPr>
          <w:rFonts w:hint="default" w:ascii="Times New Roman" w:hAnsi="Times New Roman" w:eastAsia="宋体" w:cs="Times New Roman"/>
          <w:color w:val="auto"/>
          <w:sz w:val="28"/>
          <w:szCs w:val="28"/>
        </w:rPr>
        <w:t>（</w:t>
      </w:r>
      <w:r>
        <w:rPr>
          <w:rFonts w:hint="default" w:ascii="Times New Roman" w:hAnsi="Times New Roman" w:eastAsia="宋体" w:cs="Times New Roman"/>
          <w:b w:val="0"/>
          <w:bCs/>
          <w:color w:val="auto"/>
          <w:sz w:val="28"/>
          <w:szCs w:val="28"/>
          <w:vertAlign w:val="baseline"/>
          <w:lang w:val="en-US" w:eastAsia="zh-CN"/>
        </w:rPr>
        <w:t>FQ-20332</w:t>
      </w:r>
      <w:r>
        <w:rPr>
          <w:rFonts w:hint="default" w:ascii="Times New Roman" w:hAnsi="Times New Roman" w:eastAsia="宋体" w:cs="Times New Roman"/>
          <w:color w:val="auto"/>
          <w:sz w:val="28"/>
          <w:szCs w:val="28"/>
        </w:rPr>
        <w:t>)；1个废水排放口</w:t>
      </w:r>
      <w:r>
        <w:rPr>
          <w:rFonts w:hint="eastAsia" w:ascii="Times New Roman" w:hAnsi="Times New Roman" w:eastAsia="宋体" w:cs="Times New Roman"/>
          <w:color w:val="auto"/>
          <w:sz w:val="28"/>
          <w:szCs w:val="28"/>
          <w:lang w:val="en-US" w:eastAsia="zh-CN"/>
        </w:rPr>
        <w:t>DW001</w:t>
      </w:r>
      <w:r>
        <w:rPr>
          <w:rFonts w:hint="default" w:ascii="Times New Roman" w:hAnsi="Times New Roman" w:eastAsia="宋体" w:cs="Times New Roman"/>
          <w:color w:val="auto"/>
          <w:sz w:val="28"/>
          <w:szCs w:val="28"/>
        </w:rPr>
        <w:t>（</w:t>
      </w:r>
      <w:r>
        <w:rPr>
          <w:rFonts w:hint="default" w:ascii="Times New Roman" w:hAnsi="Times New Roman" w:eastAsia="宋体" w:cs="Times New Roman"/>
          <w:b w:val="0"/>
          <w:bCs/>
          <w:color w:val="auto"/>
          <w:sz w:val="28"/>
          <w:szCs w:val="28"/>
          <w:vertAlign w:val="baseline"/>
          <w:lang w:val="en-US" w:eastAsia="zh-CN"/>
        </w:rPr>
        <w:t>WS-00794</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1个废水排放口（</w:t>
      </w:r>
      <w:r>
        <w:rPr>
          <w:rFonts w:hint="default" w:ascii="Times New Roman" w:hAnsi="Times New Roman" w:eastAsia="宋体" w:cs="Times New Roman"/>
          <w:b w:val="0"/>
          <w:bCs/>
          <w:color w:val="auto"/>
          <w:sz w:val="28"/>
          <w:szCs w:val="28"/>
          <w:vertAlign w:val="baseline"/>
          <w:lang w:val="en-US" w:eastAsia="zh-CN"/>
        </w:rPr>
        <w:t>WS001</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个雨水排放口（</w:t>
      </w:r>
      <w:r>
        <w:rPr>
          <w:rFonts w:hint="eastAsia" w:ascii="Times New Roman" w:hAnsi="Times New Roman" w:eastAsia="宋体" w:cs="Times New Roman"/>
          <w:color w:val="auto"/>
          <w:sz w:val="28"/>
          <w:szCs w:val="28"/>
          <w:lang w:val="en-US" w:eastAsia="zh-CN"/>
        </w:rPr>
        <w:t>DW003（</w:t>
      </w:r>
      <w:r>
        <w:rPr>
          <w:rFonts w:hint="default" w:ascii="Times New Roman" w:hAnsi="Times New Roman" w:eastAsia="宋体" w:cs="Times New Roman"/>
          <w:b w:val="0"/>
          <w:bCs/>
          <w:color w:val="auto"/>
          <w:sz w:val="28"/>
          <w:szCs w:val="28"/>
          <w:vertAlign w:val="baseline"/>
          <w:lang w:val="en-US" w:eastAsia="zh-CN"/>
        </w:rPr>
        <w:t>YS001</w:t>
      </w:r>
      <w:r>
        <w:rPr>
          <w:rFonts w:hint="eastAsia" w:ascii="Times New Roman" w:hAnsi="Times New Roman" w:eastAsia="宋体" w:cs="Times New Roman"/>
          <w:color w:val="auto"/>
          <w:sz w:val="28"/>
          <w:szCs w:val="28"/>
          <w:lang w:val="en-US" w:eastAsia="zh-CN"/>
        </w:rPr>
        <w:t>）</w:t>
      </w:r>
      <w:r>
        <w:rPr>
          <w:rFonts w:hint="eastAsia" w:ascii="Times New Roman" w:hAnsi="Times New Roman" w:eastAsia="宋体" w:cs="Times New Roman"/>
          <w:b w:val="0"/>
          <w:bCs/>
          <w:color w:val="auto"/>
          <w:sz w:val="28"/>
          <w:szCs w:val="28"/>
          <w:vertAlign w:val="baseline"/>
          <w:lang w:val="en-US" w:eastAsia="zh-CN"/>
        </w:rPr>
        <w:t>、DW004（</w:t>
      </w:r>
      <w:r>
        <w:rPr>
          <w:rFonts w:hint="default" w:ascii="Times New Roman" w:hAnsi="Times New Roman" w:eastAsia="宋体" w:cs="Times New Roman"/>
          <w:b w:val="0"/>
          <w:bCs/>
          <w:color w:val="auto"/>
          <w:sz w:val="28"/>
          <w:szCs w:val="28"/>
          <w:vertAlign w:val="baseline"/>
          <w:lang w:val="en-US" w:eastAsia="zh-CN"/>
        </w:rPr>
        <w:t>YS00</w:t>
      </w:r>
      <w:r>
        <w:rPr>
          <w:rFonts w:hint="eastAsia" w:ascii="Times New Roman" w:hAnsi="Times New Roman" w:eastAsia="宋体" w:cs="Times New Roman"/>
          <w:b w:val="0"/>
          <w:bCs/>
          <w:color w:val="auto"/>
          <w:sz w:val="28"/>
          <w:szCs w:val="28"/>
          <w:vertAlign w:val="baseline"/>
          <w:lang w:val="en-US" w:eastAsia="zh-CN"/>
        </w:rPr>
        <w:t>2）、DW005（</w:t>
      </w:r>
      <w:r>
        <w:rPr>
          <w:rFonts w:hint="default" w:ascii="Times New Roman" w:hAnsi="Times New Roman" w:eastAsia="宋体" w:cs="Times New Roman"/>
          <w:b w:val="0"/>
          <w:bCs/>
          <w:color w:val="auto"/>
          <w:sz w:val="28"/>
          <w:szCs w:val="28"/>
          <w:vertAlign w:val="baseline"/>
          <w:lang w:val="en-US" w:eastAsia="zh-CN"/>
        </w:rPr>
        <w:t>YS00</w:t>
      </w:r>
      <w:r>
        <w:rPr>
          <w:rFonts w:hint="eastAsia" w:ascii="Times New Roman" w:hAnsi="Times New Roman" w:eastAsia="宋体" w:cs="Times New Roman"/>
          <w:b w:val="0"/>
          <w:bCs/>
          <w:color w:val="auto"/>
          <w:sz w:val="28"/>
          <w:szCs w:val="28"/>
          <w:vertAlign w:val="baseline"/>
          <w:lang w:val="en-US" w:eastAsia="zh-CN"/>
        </w:rPr>
        <w:t>3）</w:t>
      </w:r>
      <w:r>
        <w:rPr>
          <w:rFonts w:hint="default"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rPr>
        <w:t>。</w:t>
      </w:r>
    </w:p>
    <w:p>
      <w:pPr>
        <w:spacing w:line="360" w:lineRule="auto"/>
        <w:ind w:firstLine="42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废水处理及排放情况：医院2017年自来水用量约1200吨/天，由市政管网供给。废水当前日处理量约为1200吨/日</w:t>
      </w:r>
      <w:r>
        <w:rPr>
          <w:rFonts w:hint="eastAsia"/>
          <w:color w:val="auto"/>
          <w:lang w:eastAsia="zh-CN"/>
        </w:rPr>
        <w:t>，</w:t>
      </w:r>
      <w:r>
        <w:rPr>
          <w:rFonts w:hint="eastAsia" w:ascii="Times New Roman" w:hAnsi="Times New Roman" w:eastAsia="宋体" w:cs="Times New Roman"/>
          <w:color w:val="auto"/>
          <w:sz w:val="28"/>
          <w:szCs w:val="28"/>
          <w:lang w:val="en-US" w:eastAsia="zh-CN"/>
        </w:rPr>
        <w:t>污水总排放量为1080t/d</w:t>
      </w:r>
      <w:r>
        <w:rPr>
          <w:rFonts w:hint="default" w:ascii="Times New Roman" w:hAnsi="Times New Roman" w:eastAsia="宋体" w:cs="Times New Roman"/>
          <w:color w:val="auto"/>
          <w:sz w:val="28"/>
          <w:szCs w:val="28"/>
        </w:rPr>
        <w:t>。医院所产生的医疗废水及生活污水收集后依托医院自建污水处理车间进行处理，废水处理流程如下：</w:t>
      </w:r>
    </w:p>
    <w:p>
      <w:pPr>
        <w:spacing w:line="360" w:lineRule="auto"/>
        <w:ind w:firstLine="42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drawing>
          <wp:inline distT="0" distB="0" distL="114300" distR="114300">
            <wp:extent cx="5753735" cy="2555875"/>
            <wp:effectExtent l="0" t="0" r="1841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753735" cy="2555875"/>
                    </a:xfrm>
                    <a:prstGeom prst="rect">
                      <a:avLst/>
                    </a:prstGeom>
                    <a:noFill/>
                    <a:ln>
                      <a:noFill/>
                    </a:ln>
                  </pic:spPr>
                </pic:pic>
              </a:graphicData>
            </a:graphic>
          </wp:inline>
        </w:drawing>
      </w:r>
    </w:p>
    <w:p>
      <w:pPr>
        <w:tabs>
          <w:tab w:val="left" w:pos="2781"/>
          <w:tab w:val="left" w:pos="5275"/>
          <w:tab w:val="left" w:pos="7696"/>
        </w:tabs>
        <w:spacing w:line="360" w:lineRule="auto"/>
        <w:jc w:val="center"/>
        <w:rPr>
          <w:rFonts w:hint="default" w:ascii="Times New Roman" w:hAnsi="Times New Roman" w:eastAsia="宋体" w:cs="Times New Roman"/>
          <w:b/>
          <w:color w:val="auto"/>
          <w:kern w:val="1"/>
          <w:sz w:val="28"/>
          <w:szCs w:val="28"/>
        </w:rPr>
      </w:pPr>
      <w:r>
        <w:rPr>
          <w:rFonts w:hint="default" w:ascii="Times New Roman" w:hAnsi="Times New Roman" w:eastAsia="宋体" w:cs="Times New Roman"/>
          <w:b/>
          <w:color w:val="auto"/>
          <w:kern w:val="1"/>
          <w:sz w:val="28"/>
          <w:szCs w:val="28"/>
        </w:rPr>
        <w:t>图3.2废水处理工艺流程简图</w:t>
      </w:r>
    </w:p>
    <w:p>
      <w:pPr>
        <w:keepNext w:val="0"/>
        <w:keepLines w:val="0"/>
        <w:pageBreakBefore w:val="0"/>
        <w:widowControl w:val="0"/>
        <w:tabs>
          <w:tab w:val="left" w:pos="2781"/>
          <w:tab w:val="left" w:pos="5275"/>
          <w:tab w:val="left" w:pos="769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医疗废水中的主要污染物（SS、PH、COD、BOD</w:t>
      </w:r>
      <w:r>
        <w:rPr>
          <w:rFonts w:hint="default" w:ascii="Times New Roman" w:hAnsi="Times New Roman" w:eastAsia="宋体" w:cs="Times New Roman"/>
          <w:color w:val="auto"/>
          <w:sz w:val="28"/>
          <w:szCs w:val="28"/>
          <w:vertAlign w:val="subscript"/>
        </w:rPr>
        <w:t>5</w:t>
      </w:r>
      <w:r>
        <w:rPr>
          <w:rFonts w:hint="default" w:ascii="Times New Roman" w:hAnsi="Times New Roman" w:eastAsia="宋体" w:cs="Times New Roman"/>
          <w:color w:val="auto"/>
          <w:sz w:val="28"/>
          <w:szCs w:val="28"/>
        </w:rPr>
        <w:t>、LAS、粪菌）经过二氧化氯消毒后，可有效除去传染病菌、粪大肠杆菌，经处理后的废水能够达到《医疗机构水污染物排放标准》（GB 18466—2005）预处理标准及《医疗机构污水排放要求》后排入</w:t>
      </w:r>
      <w:r>
        <w:rPr>
          <w:rFonts w:hint="eastAsia" w:ascii="Times New Roman" w:hAnsi="Times New Roman" w:eastAsia="宋体" w:cs="Times New Roman"/>
          <w:color w:val="auto"/>
          <w:sz w:val="28"/>
          <w:szCs w:val="28"/>
          <w:lang w:eastAsia="zh-CN"/>
        </w:rPr>
        <w:t>中山市污水处理有限公司</w:t>
      </w:r>
      <w:r>
        <w:rPr>
          <w:rFonts w:hint="default" w:ascii="Times New Roman" w:hAnsi="Times New Roman" w:eastAsia="宋体" w:cs="Times New Roman"/>
          <w:color w:val="auto"/>
          <w:sz w:val="28"/>
          <w:szCs w:val="28"/>
        </w:rPr>
        <w:t>。废水治理设施设计日处理能力为1750t/d，该废水治理设施运行正常。</w:t>
      </w:r>
    </w:p>
    <w:p>
      <w:pPr>
        <w:spacing w:line="360" w:lineRule="auto"/>
        <w:ind w:firstLine="420"/>
        <w:outlineLvl w:val="2"/>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废水排放去向</w:t>
      </w:r>
    </w:p>
    <w:p>
      <w:pPr>
        <w:pStyle w:val="16"/>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中山市博爱医院产生的生活污水经化粪池收集处理后排入自建污水处理厂处理达标后排放至市政管网。产生的医疗废水集中收集后汇入医院自建的污水处理站经预处理后经市政污水管网输送到</w:t>
      </w:r>
      <w:r>
        <w:rPr>
          <w:rFonts w:hint="eastAsia" w:ascii="Times New Roman" w:hAnsi="Times New Roman" w:eastAsia="宋体" w:cs="Times New Roman"/>
          <w:color w:val="auto"/>
          <w:sz w:val="28"/>
          <w:szCs w:val="28"/>
          <w:lang w:eastAsia="zh-CN"/>
        </w:rPr>
        <w:t>中山市污水处理有限公司</w:t>
      </w:r>
      <w:r>
        <w:rPr>
          <w:rFonts w:hint="default" w:ascii="Times New Roman" w:hAnsi="Times New Roman" w:eastAsia="宋体" w:cs="Times New Roman"/>
          <w:color w:val="auto"/>
          <w:sz w:val="28"/>
          <w:szCs w:val="28"/>
        </w:rPr>
        <w:t>。污废水经</w:t>
      </w:r>
      <w:r>
        <w:rPr>
          <w:rFonts w:hint="eastAsia" w:ascii="Times New Roman" w:hAnsi="Times New Roman" w:eastAsia="宋体" w:cs="Times New Roman"/>
          <w:color w:val="auto"/>
          <w:sz w:val="28"/>
          <w:szCs w:val="28"/>
          <w:lang w:eastAsia="zh-CN"/>
        </w:rPr>
        <w:t>中山市污水处理有限公司</w:t>
      </w:r>
      <w:r>
        <w:rPr>
          <w:rFonts w:hint="default" w:ascii="Times New Roman" w:hAnsi="Times New Roman" w:eastAsia="宋体" w:cs="Times New Roman"/>
          <w:color w:val="auto"/>
          <w:kern w:val="0"/>
          <w:sz w:val="28"/>
          <w:szCs w:val="28"/>
        </w:rPr>
        <w:t>达到</w:t>
      </w:r>
      <w:r>
        <w:rPr>
          <w:rFonts w:hint="default" w:ascii="Times New Roman" w:hAnsi="Times New Roman" w:eastAsia="宋体" w:cs="Times New Roman"/>
          <w:color w:val="auto"/>
          <w:sz w:val="28"/>
          <w:szCs w:val="28"/>
        </w:rPr>
        <w:t>广东省《水污染物排放限值》（DB44/26-2001）第二时段一级标准和《城镇污水处理厂水污染物排放标准》（GB18918-2002）一级标准的B标准中的较严指标后排入</w:t>
      </w:r>
      <w:r>
        <w:rPr>
          <w:rFonts w:hint="default" w:ascii="Times New Roman" w:hAnsi="Times New Roman" w:eastAsia="宋体" w:cs="Times New Roman"/>
          <w:color w:val="auto"/>
          <w:kern w:val="0"/>
          <w:sz w:val="28"/>
          <w:szCs w:val="28"/>
        </w:rPr>
        <w:t>石岐河</w:t>
      </w:r>
      <w:r>
        <w:rPr>
          <w:rFonts w:hint="default" w:ascii="Times New Roman" w:hAnsi="Times New Roman" w:eastAsia="宋体" w:cs="Times New Roman"/>
          <w:bCs/>
          <w:color w:val="auto"/>
          <w:sz w:val="28"/>
          <w:szCs w:val="28"/>
        </w:rPr>
        <w:t>。</w:t>
      </w:r>
    </w:p>
    <w:p>
      <w:pPr>
        <w:widowControl/>
        <w:shd w:val="clear" w:color="auto" w:fill="FFFFFF"/>
        <w:spacing w:before="156" w:beforeLines="50" w:line="360" w:lineRule="auto"/>
        <w:ind w:firstLine="56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雨水</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医院</w:t>
      </w:r>
      <w:r>
        <w:rPr>
          <w:rFonts w:hint="default" w:ascii="Times New Roman" w:hAnsi="Times New Roman" w:eastAsia="宋体" w:cs="Times New Roman"/>
          <w:color w:val="auto"/>
          <w:sz w:val="28"/>
          <w:szCs w:val="28"/>
        </w:rPr>
        <w:t>雨水通过专门的管道、沟或者渠统一收集排入市政管道</w:t>
      </w:r>
      <w:r>
        <w:rPr>
          <w:rFonts w:hint="eastAsia" w:ascii="Times New Roman" w:hAnsi="Times New Roman" w:eastAsia="宋体" w:cs="Times New Roman"/>
          <w:color w:val="auto"/>
          <w:sz w:val="28"/>
          <w:szCs w:val="28"/>
          <w:lang w:val="en-US" w:eastAsia="zh-CN"/>
        </w:rPr>
        <w:t>后汇入石岐河</w:t>
      </w:r>
      <w:r>
        <w:rPr>
          <w:rFonts w:hint="default" w:ascii="Times New Roman" w:hAnsi="Times New Roman" w:eastAsia="宋体" w:cs="Times New Roman"/>
          <w:color w:val="auto"/>
          <w:sz w:val="28"/>
          <w:szCs w:val="28"/>
        </w:rPr>
        <w:t>。</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highlight w:val="red"/>
        </w:rPr>
      </w:pPr>
      <w:r>
        <w:rPr>
          <w:rFonts w:hint="default" w:ascii="Times New Roman" w:hAnsi="Times New Roman" w:eastAsia="宋体" w:cs="Times New Roman"/>
          <w:color w:val="auto"/>
          <w:sz w:val="28"/>
          <w:szCs w:val="28"/>
        </w:rPr>
        <w:t xml:space="preserve">废气处理及排放情况： </w:t>
      </w:r>
    </w:p>
    <w:p>
      <w:pPr>
        <w:spacing w:line="360" w:lineRule="auto"/>
        <w:ind w:firstLine="420"/>
        <w:outlineLvl w:val="1"/>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一、锅炉大气污染物排放</w:t>
      </w:r>
    </w:p>
    <w:p>
      <w:pPr>
        <w:pStyle w:val="4"/>
        <w:rPr>
          <w:rFonts w:hint="default" w:ascii="Times New Roman" w:hAnsi="Times New Roman" w:eastAsia="宋体" w:cs="Times New Roman"/>
          <w:color w:val="auto"/>
          <w:kern w:val="1"/>
          <w:sz w:val="28"/>
          <w:szCs w:val="28"/>
        </w:rPr>
      </w:pPr>
      <w:r>
        <w:rPr>
          <w:rFonts w:hint="default" w:ascii="Times New Roman" w:hAnsi="Times New Roman" w:eastAsia="宋体" w:cs="Times New Roman"/>
          <w:color w:val="auto"/>
          <w:kern w:val="1"/>
          <w:sz w:val="28"/>
          <w:szCs w:val="28"/>
        </w:rPr>
        <w:t>博爱医院设置有燃天然气3t/h、4.8t/h的锅炉共两台，锅炉由于使用天然气为燃烧燃料，属于清洁能源，产生的污染物</w:t>
      </w:r>
      <w:r>
        <w:rPr>
          <w:rFonts w:hint="eastAsia" w:ascii="Times New Roman" w:hAnsi="Times New Roman" w:eastAsia="宋体" w:cs="Times New Roman"/>
          <w:color w:val="auto"/>
          <w:kern w:val="1"/>
          <w:sz w:val="28"/>
          <w:szCs w:val="28"/>
          <w:lang w:val="en-US" w:eastAsia="zh-CN"/>
        </w:rPr>
        <w:t>主要为（二氧化硫、氮氧化物、颗粒物）</w:t>
      </w:r>
      <w:r>
        <w:rPr>
          <w:rFonts w:hint="default" w:ascii="Times New Roman" w:hAnsi="Times New Roman" w:eastAsia="宋体" w:cs="Times New Roman"/>
          <w:color w:val="auto"/>
          <w:kern w:val="1"/>
          <w:sz w:val="28"/>
          <w:szCs w:val="28"/>
        </w:rPr>
        <w:t>浓度低，不需要进行废气的治理，燃烧废气通过 1</w:t>
      </w:r>
      <w:r>
        <w:rPr>
          <w:rFonts w:hint="eastAsia" w:ascii="Times New Roman" w:hAnsi="Times New Roman" w:eastAsia="宋体" w:cs="Times New Roman"/>
          <w:color w:val="auto"/>
          <w:kern w:val="1"/>
          <w:sz w:val="28"/>
          <w:szCs w:val="28"/>
          <w:lang w:val="en-US" w:eastAsia="zh-CN"/>
        </w:rPr>
        <w:t>5</w:t>
      </w:r>
      <w:r>
        <w:rPr>
          <w:rFonts w:hint="default" w:ascii="Times New Roman" w:hAnsi="Times New Roman" w:eastAsia="宋体" w:cs="Times New Roman"/>
          <w:color w:val="auto"/>
          <w:kern w:val="1"/>
          <w:sz w:val="28"/>
          <w:szCs w:val="28"/>
        </w:rPr>
        <w:t xml:space="preserve"> 米高烟囱排放。</w:t>
      </w:r>
    </w:p>
    <w:p>
      <w:pPr>
        <w:spacing w:line="360" w:lineRule="auto"/>
        <w:ind w:firstLine="420"/>
        <w:outlineLvl w:val="1"/>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二、污水处理站无组织恶臭气体</w:t>
      </w:r>
    </w:p>
    <w:p>
      <w:pPr>
        <w:spacing w:line="360" w:lineRule="auto"/>
        <w:ind w:firstLine="482"/>
        <w:jc w:val="left"/>
        <w:rPr>
          <w:rFonts w:hint="default" w:ascii="Times New Roman" w:hAnsi="Times New Roman" w:eastAsia="宋体" w:cs="Times New Roman"/>
          <w:color w:val="auto"/>
          <w:kern w:val="1"/>
          <w:sz w:val="28"/>
          <w:szCs w:val="28"/>
          <w:lang w:val="en-US"/>
        </w:rPr>
      </w:pPr>
      <w:r>
        <w:rPr>
          <w:rFonts w:hint="default" w:ascii="Times New Roman" w:hAnsi="Times New Roman" w:eastAsia="宋体" w:cs="Times New Roman"/>
          <w:color w:val="auto"/>
          <w:kern w:val="1"/>
          <w:sz w:val="28"/>
          <w:szCs w:val="28"/>
        </w:rPr>
        <w:t>污水处理站各处理工段采用地下式密封池</w:t>
      </w:r>
      <w:r>
        <w:rPr>
          <w:rFonts w:hint="eastAsia" w:ascii="Times New Roman" w:hAnsi="Times New Roman" w:eastAsia="宋体" w:cs="Times New Roman"/>
          <w:color w:val="auto"/>
          <w:kern w:val="1"/>
          <w:sz w:val="28"/>
          <w:szCs w:val="28"/>
          <w:lang w:eastAsia="zh-CN"/>
        </w:rPr>
        <w:t>，</w:t>
      </w:r>
      <w:r>
        <w:rPr>
          <w:rFonts w:hint="eastAsia" w:ascii="Times New Roman" w:hAnsi="Times New Roman" w:eastAsia="宋体" w:cs="Times New Roman"/>
          <w:color w:val="auto"/>
          <w:kern w:val="1"/>
          <w:sz w:val="28"/>
          <w:szCs w:val="28"/>
          <w:lang w:val="en-US" w:eastAsia="zh-CN"/>
        </w:rPr>
        <w:t>污水处理站会产生一定量废气，主要为（甲烷、氨、硫化氢、氯、臭气浓度）该部分废气无组织排放。</w:t>
      </w:r>
    </w:p>
    <w:p>
      <w:pPr>
        <w:widowControl/>
        <w:shd w:val="clear" w:color="auto" w:fill="FFFFFF"/>
        <w:spacing w:before="156" w:beforeLines="50" w:line="360" w:lineRule="auto"/>
        <w:outlineLvl w:val="0"/>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2、监测内容</w:t>
      </w:r>
    </w:p>
    <w:p>
      <w:pPr>
        <w:widowControl/>
        <w:shd w:val="clear" w:color="auto" w:fill="FFFFFF"/>
        <w:spacing w:before="156" w:beforeLines="50" w:line="360" w:lineRule="auto"/>
        <w:outlineLvl w:val="1"/>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2.1监测点位布设</w:t>
      </w:r>
    </w:p>
    <w:p>
      <w:pPr>
        <w:widowControl/>
        <w:shd w:val="clear" w:color="auto" w:fill="FFFFFF"/>
        <w:spacing w:before="156"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全公司/全厂污染源监测点位、监测因子及监测频次见表1。（附全公司/全厂平面布置及监测点位分布图）。</w:t>
      </w:r>
    </w:p>
    <w:p>
      <w:pPr>
        <w:pStyle w:val="2"/>
        <w:adjustRightInd w:val="0"/>
        <w:snapToGrid w:val="0"/>
        <w:spacing w:line="360" w:lineRule="auto"/>
        <w:jc w:val="center"/>
        <w:rPr>
          <w:rFonts w:hint="default" w:ascii="Times New Roman" w:hAnsi="Times New Roman" w:eastAsia="宋体" w:cs="Times New Roman"/>
          <w:color w:val="auto"/>
          <w:sz w:val="28"/>
          <w:szCs w:val="28"/>
        </w:rPr>
        <w:sectPr>
          <w:headerReference r:id="rId3" w:type="default"/>
          <w:pgSz w:w="11906" w:h="16838"/>
          <w:pgMar w:top="1440" w:right="1080" w:bottom="1440" w:left="1080" w:header="851" w:footer="992" w:gutter="0"/>
          <w:cols w:space="720" w:num="1"/>
          <w:docGrid w:type="lines" w:linePitch="312" w:charSpace="0"/>
        </w:sectPr>
      </w:pPr>
    </w:p>
    <w:p>
      <w:pPr>
        <w:pStyle w:val="2"/>
        <w:adjustRightInd w:val="0"/>
        <w:snapToGrid w:val="0"/>
        <w:spacing w:line="360" w:lineRule="auto"/>
        <w:jc w:val="center"/>
        <w:rPr>
          <w:rFonts w:hint="eastAsia" w:ascii="Times New Roman" w:hAnsi="Times New Roman" w:eastAsia="宋体" w:cs="Times New Roman"/>
          <w:b/>
          <w:bCs/>
          <w:color w:val="auto"/>
          <w:sz w:val="28"/>
          <w:szCs w:val="28"/>
          <w:lang w:eastAsia="zh-CN"/>
        </w:rPr>
      </w:pPr>
      <w:r>
        <w:rPr>
          <w:rFonts w:hint="eastAsia" w:ascii="Times New Roman" w:hAnsi="Times New Roman" w:eastAsia="宋体" w:cs="Times New Roman"/>
          <w:b/>
          <w:bCs/>
          <w:color w:val="auto"/>
          <w:sz w:val="28"/>
          <w:szCs w:val="28"/>
          <w:lang w:eastAsia="zh-CN"/>
        </w:rPr>
        <w:drawing>
          <wp:inline distT="0" distB="0" distL="114300" distR="114300">
            <wp:extent cx="8835390" cy="5359400"/>
            <wp:effectExtent l="0" t="0" r="3810" b="12700"/>
            <wp:docPr id="10" name="图片 3" descr="雨污水管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雨污水管网图"/>
                    <pic:cNvPicPr>
                      <a:picLocks noChangeAspect="1"/>
                    </pic:cNvPicPr>
                  </pic:nvPicPr>
                  <pic:blipFill>
                    <a:blip r:embed="rId8"/>
                    <a:srcRect l="12244" r="12611"/>
                    <a:stretch>
                      <a:fillRect/>
                    </a:stretch>
                  </pic:blipFill>
                  <pic:spPr>
                    <a:xfrm>
                      <a:off x="0" y="0"/>
                      <a:ext cx="8835390" cy="5359400"/>
                    </a:xfrm>
                    <a:prstGeom prst="rect">
                      <a:avLst/>
                    </a:prstGeom>
                    <a:noFill/>
                    <a:ln>
                      <a:noFill/>
                    </a:ln>
                  </pic:spPr>
                </pic:pic>
              </a:graphicData>
            </a:graphic>
          </wp:inline>
        </w:drawing>
      </w:r>
    </w:p>
    <w:p>
      <w:pPr>
        <w:pStyle w:val="2"/>
        <w:adjustRightInd w:val="0"/>
        <w:snapToGrid w:val="0"/>
        <w:spacing w:line="360" w:lineRule="auto"/>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公司平面布置图</w:t>
      </w:r>
    </w:p>
    <w:p>
      <w:pPr>
        <w:pStyle w:val="2"/>
        <w:adjustRightInd w:val="0"/>
        <w:snapToGrid w:val="0"/>
        <w:spacing w:line="360" w:lineRule="auto"/>
        <w:jc w:val="center"/>
        <w:rPr>
          <w:rFonts w:hint="default" w:ascii="Times New Roman" w:hAnsi="Times New Roman" w:eastAsia="宋体" w:cs="Times New Roman"/>
          <w:color w:val="auto"/>
          <w:sz w:val="28"/>
          <w:szCs w:val="28"/>
        </w:rPr>
        <w:sectPr>
          <w:pgSz w:w="16838" w:h="11906" w:orient="landscape"/>
          <w:pgMar w:top="1083" w:right="1440" w:bottom="1083" w:left="1440" w:header="851" w:footer="992" w:gutter="0"/>
          <w:cols w:space="720" w:num="1"/>
          <w:rtlGutter w:val="0"/>
          <w:docGrid w:type="lines" w:linePitch="314" w:charSpace="0"/>
        </w:sectPr>
      </w:pPr>
    </w:p>
    <w:p>
      <w:pPr>
        <w:pStyle w:val="2"/>
        <w:adjustRightInd w:val="0"/>
        <w:snapToGrid w:val="0"/>
        <w:spacing w:line="360" w:lineRule="auto"/>
        <w:jc w:val="center"/>
        <w:rPr>
          <w:rFonts w:hint="default" w:ascii="Times New Roman" w:hAnsi="Times New Roman" w:eastAsia="宋体" w:cs="Times New Roman"/>
          <w:color w:val="auto"/>
          <w:sz w:val="28"/>
          <w:szCs w:val="28"/>
        </w:rPr>
      </w:pPr>
      <w:r>
        <w:drawing>
          <wp:inline distT="0" distB="0" distL="114300" distR="114300">
            <wp:extent cx="7554595" cy="4996180"/>
            <wp:effectExtent l="0" t="0" r="8255"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7554595" cy="4996180"/>
                    </a:xfrm>
                    <a:prstGeom prst="rect">
                      <a:avLst/>
                    </a:prstGeom>
                    <a:noFill/>
                    <a:ln>
                      <a:noFill/>
                    </a:ln>
                  </pic:spPr>
                </pic:pic>
              </a:graphicData>
            </a:graphic>
          </wp:inline>
        </w:drawing>
      </w:r>
      <w:r>
        <w:drawing>
          <wp:anchor distT="0" distB="0" distL="114300" distR="114300" simplePos="0" relativeHeight="251664384" behindDoc="0" locked="0" layoutInCell="1" allowOverlap="1">
            <wp:simplePos x="0" y="0"/>
            <wp:positionH relativeFrom="column">
              <wp:posOffset>7299325</wp:posOffset>
            </wp:positionH>
            <wp:positionV relativeFrom="paragraph">
              <wp:posOffset>30480</wp:posOffset>
            </wp:positionV>
            <wp:extent cx="645795" cy="924560"/>
            <wp:effectExtent l="0" t="0" r="1905" b="889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645795" cy="924560"/>
                    </a:xfrm>
                    <a:prstGeom prst="rect">
                      <a:avLst/>
                    </a:prstGeom>
                    <a:noFill/>
                    <a:ln>
                      <a:noFill/>
                    </a:ln>
                  </pic:spPr>
                </pic:pic>
              </a:graphicData>
            </a:graphic>
          </wp:anchor>
        </w:drawing>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1528445</wp:posOffset>
                </wp:positionH>
                <wp:positionV relativeFrom="paragraph">
                  <wp:posOffset>1430020</wp:posOffset>
                </wp:positionV>
                <wp:extent cx="139700" cy="139700"/>
                <wp:effectExtent l="7620" t="10795" r="24130" b="20955"/>
                <wp:wrapNone/>
                <wp:docPr id="6" name="等腰三角形 6"/>
                <wp:cNvGraphicFramePr/>
                <a:graphic xmlns:a="http://schemas.openxmlformats.org/drawingml/2006/main">
                  <a:graphicData uri="http://schemas.microsoft.com/office/word/2010/wordprocessingShape">
                    <wps:wsp>
                      <wps:cNvSpPr/>
                      <wps:spPr>
                        <a:xfrm>
                          <a:off x="0" y="0"/>
                          <a:ext cx="139700" cy="139700"/>
                        </a:xfrm>
                        <a:prstGeom prst="triangle">
                          <a:avLst>
                            <a:gd name="adj" fmla="val 50000"/>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20.35pt;margin-top:112.6pt;height:11pt;width:11pt;z-index:251663360;mso-width-relative:page;mso-height-relative:page;" fillcolor="#FFFFFF" filled="t" stroked="t" coordsize="21600,21600" o:gfxdata="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2FHntkA&#10;AAALAQAADwAAAAAAAAABACAAAAAiAAAAZHJzL2Rvd25yZXYueG1sUEsBAhQAFAAAAAgAh07iQANU&#10;mJIeAgAAVgQAAA4AAAAAAAAAAQAgAAAAKAEAAGRycy9lMm9Eb2MueG1sUEsFBgAAAAAGAAYAWQEA&#10;ALgFAAAAAA==&#10;" adj="10800">
                <v:fill on="t" focussize="0,0"/>
                <v:stroke color="#FFFFFF" joinstyle="miter"/>
                <v:imagedata o:title=""/>
                <o:lock v:ext="edit" aspectratio="f"/>
              </v:shape>
            </w:pict>
          </mc:Fallback>
        </mc:AlternateContent>
      </w: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1693545</wp:posOffset>
                </wp:positionH>
                <wp:positionV relativeFrom="paragraph">
                  <wp:posOffset>1430020</wp:posOffset>
                </wp:positionV>
                <wp:extent cx="139700" cy="139700"/>
                <wp:effectExtent l="7620" t="10795" r="24130" b="20955"/>
                <wp:wrapNone/>
                <wp:docPr id="1" name="等腰三角形 1"/>
                <wp:cNvGraphicFramePr/>
                <a:graphic xmlns:a="http://schemas.openxmlformats.org/drawingml/2006/main">
                  <a:graphicData uri="http://schemas.microsoft.com/office/word/2010/wordprocessingShape">
                    <wps:wsp>
                      <wps:cNvSpPr/>
                      <wps:spPr>
                        <a:xfrm>
                          <a:off x="0" y="0"/>
                          <a:ext cx="139700" cy="139700"/>
                        </a:xfrm>
                        <a:prstGeom prst="triangle">
                          <a:avLst>
                            <a:gd name="adj" fmla="val 50000"/>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33.35pt;margin-top:112.6pt;height:11pt;width:11pt;z-index:251662336;mso-width-relative:page;mso-height-relative:page;" fillcolor="#FFFFFF" filled="t" stroked="t" coordsize="21600,21600" o:gfxdata="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mpJDZAAAA&#10;CwEAAA8AAAAAAAAAAQAgAAAAIgAAAGRycy9kb3ducmV2LnhtbFBLAQIUABQAAAAIAIdO4kCsg+Tu&#10;HAIAAFYEAAAOAAAAAAAAAAEAIAAAACgBAABkcnMvZTJvRG9jLnhtbFBLBQYAAAAABgAGAFkBAAC2&#10;BQAAAAA=&#10;" adj="10800">
                <v:fill on="t" focussize="0,0"/>
                <v:stroke color="#FFFFFF" joinstyle="miter"/>
                <v:imagedata o:title=""/>
                <o:lock v:ext="edit" aspectratio="f"/>
              </v:shape>
            </w:pict>
          </mc:Fallback>
        </mc:AlternateContent>
      </w: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1795145</wp:posOffset>
                </wp:positionH>
                <wp:positionV relativeFrom="paragraph">
                  <wp:posOffset>1264920</wp:posOffset>
                </wp:positionV>
                <wp:extent cx="139700" cy="139700"/>
                <wp:effectExtent l="7620" t="10795" r="24130" b="20955"/>
                <wp:wrapNone/>
                <wp:docPr id="2" name="等腰三角形 2"/>
                <wp:cNvGraphicFramePr/>
                <a:graphic xmlns:a="http://schemas.openxmlformats.org/drawingml/2006/main">
                  <a:graphicData uri="http://schemas.microsoft.com/office/word/2010/wordprocessingShape">
                    <wps:wsp>
                      <wps:cNvSpPr/>
                      <wps:spPr>
                        <a:xfrm>
                          <a:off x="0" y="0"/>
                          <a:ext cx="139700" cy="139700"/>
                        </a:xfrm>
                        <a:prstGeom prst="triangle">
                          <a:avLst>
                            <a:gd name="adj" fmla="val 50000"/>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41.35pt;margin-top:99.6pt;height:11pt;width:11pt;z-index:251660288;mso-width-relative:page;mso-height-relative:page;" fillcolor="#FFFFFF" filled="t" stroked="t" coordsize="21600,21600" o:gfxdata="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6ye+TYAAAA&#10;CwEAAA8AAAAAAAAAAQAgAAAAIgAAAGRycy9kb3ducmV2LnhtbFBLAQIUABQAAAAIAIdO4kD8Sq6c&#10;HQIAAFYEAAAOAAAAAAAAAAEAIAAAACcBAABkcnMvZTJvRG9jLnhtbFBLBQYAAAAABgAGAFkBAAC2&#10;BQAAAAA=&#10;" adj="10800">
                <v:fill on="t" focussize="0,0"/>
                <v:stroke color="#FFFFFF" joinstyle="miter"/>
                <v:imagedata o:title=""/>
                <o:lock v:ext="edit" aspectratio="f"/>
              </v:shape>
            </w:pict>
          </mc:Fallback>
        </mc:AlternateContent>
      </w: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1922145</wp:posOffset>
                </wp:positionH>
                <wp:positionV relativeFrom="paragraph">
                  <wp:posOffset>1563370</wp:posOffset>
                </wp:positionV>
                <wp:extent cx="107950" cy="127000"/>
                <wp:effectExtent l="6985" t="12065" r="18415" b="13335"/>
                <wp:wrapNone/>
                <wp:docPr id="3" name="等腰三角形 3"/>
                <wp:cNvGraphicFramePr/>
                <a:graphic xmlns:a="http://schemas.openxmlformats.org/drawingml/2006/main">
                  <a:graphicData uri="http://schemas.microsoft.com/office/word/2010/wordprocessingShape">
                    <wps:wsp>
                      <wps:cNvSpPr/>
                      <wps:spPr>
                        <a:xfrm>
                          <a:off x="0" y="0"/>
                          <a:ext cx="107950" cy="127000"/>
                        </a:xfrm>
                        <a:prstGeom prst="triangle">
                          <a:avLst>
                            <a:gd name="adj" fmla="val 50000"/>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51.35pt;margin-top:123.1pt;height:10pt;width:8.5pt;z-index:251661312;mso-width-relative:page;mso-height-relative:page;" fillcolor="#FFFFFF" filled="t" stroked="t" coordsize="21600,21600" o:gfxdata="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Tc1&#10;2QAAAAsBAAAPAAAAAAAAAAEAIAAAACIAAABkcnMvZG93bnJldi54bWxQSwECFAAUAAAACACHTuJA&#10;Z9EHuyACAABWBAAADgAAAAAAAAABACAAAAAoAQAAZHJzL2Uyb0RvYy54bWxQSwUGAAAAAAYABgBZ&#10;AQAAugUAAAAA&#10;" adj="10800">
                <v:fill on="t" focussize="0,0"/>
                <v:stroke color="#FFFFFF" joinstyle="miter"/>
                <v:imagedata o:title=""/>
                <o:lock v:ext="edit" aspectratio="f"/>
              </v:shape>
            </w:pict>
          </mc:Fallback>
        </mc:AlternateContent>
      </w:r>
      <w:r>
        <w:rPr>
          <w:color w:val="auto"/>
          <w:sz w:val="28"/>
        </w:rPr>
        <mc:AlternateContent>
          <mc:Choice Requires="wps">
            <w:drawing>
              <wp:anchor distT="0" distB="0" distL="114300" distR="114300" simplePos="0" relativeHeight="251659264" behindDoc="0" locked="0" layoutInCell="1" allowOverlap="1">
                <wp:simplePos x="0" y="0"/>
                <wp:positionH relativeFrom="column">
                  <wp:posOffset>1617345</wp:posOffset>
                </wp:positionH>
                <wp:positionV relativeFrom="paragraph">
                  <wp:posOffset>1258570</wp:posOffset>
                </wp:positionV>
                <wp:extent cx="107950" cy="127000"/>
                <wp:effectExtent l="6985" t="12065" r="18415" b="13335"/>
                <wp:wrapNone/>
                <wp:docPr id="4" name="等腰三角形 4"/>
                <wp:cNvGraphicFramePr/>
                <a:graphic xmlns:a="http://schemas.openxmlformats.org/drawingml/2006/main">
                  <a:graphicData uri="http://schemas.microsoft.com/office/word/2010/wordprocessingShape">
                    <wps:wsp>
                      <wps:cNvSpPr/>
                      <wps:spPr>
                        <a:xfrm>
                          <a:off x="0" y="0"/>
                          <a:ext cx="107950" cy="127000"/>
                        </a:xfrm>
                        <a:prstGeom prst="triangle">
                          <a:avLst>
                            <a:gd name="adj" fmla="val 50000"/>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27.35pt;margin-top:99.1pt;height:10pt;width:8.5pt;z-index:251659264;mso-width-relative:page;mso-height-relative:page;" fillcolor="#FFFFFF" filled="t" stroked="t" coordsize="21600,21600" o:gfxdata="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12BI0&#10;2QAAAAsBAAAPAAAAAAAAAAEAIAAAACIAAABkcnMvZG93bnJldi54bWxQSwECFAAUAAAACACHTuJA&#10;yAZ7xyACAABWBAAADgAAAAAAAAABACAAAAAoAQAAZHJzL2Uyb0RvYy54bWxQSwUGAAAAAAYABgBZ&#10;AQAAugUAAAAA&#10;" adj="10800">
                <v:fill on="t" focussize="0,0"/>
                <v:stroke color="#FFFFFF" joinstyle="miter"/>
                <v:imagedata o:title=""/>
                <o:lock v:ext="edit" aspectratio="f"/>
              </v:shape>
            </w:pict>
          </mc:Fallback>
        </mc:AlternateContent>
      </w:r>
    </w:p>
    <w:p>
      <w:pPr>
        <w:pStyle w:val="4"/>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监测点位分布图</w:t>
      </w:r>
    </w:p>
    <w:p>
      <w:pPr>
        <w:widowControl/>
        <w:shd w:val="clear" w:color="auto" w:fill="FFFFFF"/>
        <w:spacing w:before="100" w:beforeAutospacing="1" w:after="100" w:afterAutospacing="1" w:line="360" w:lineRule="atLeast"/>
        <w:jc w:val="center"/>
        <w:rPr>
          <w:rFonts w:hint="default" w:ascii="Times New Roman" w:hAnsi="Times New Roman" w:eastAsia="宋体" w:cs="Times New Roman"/>
          <w:color w:val="auto"/>
          <w:sz w:val="28"/>
          <w:szCs w:val="28"/>
        </w:rPr>
        <w:sectPr>
          <w:pgSz w:w="16838" w:h="11906" w:orient="landscape"/>
          <w:pgMar w:top="1083" w:right="1440" w:bottom="1083" w:left="1440" w:header="851" w:footer="992" w:gutter="0"/>
          <w:cols w:space="720" w:num="1"/>
          <w:rtlGutter w:val="0"/>
          <w:docGrid w:type="lines" w:linePitch="314" w:charSpace="0"/>
        </w:sectPr>
      </w:pPr>
    </w:p>
    <w:p>
      <w:pPr>
        <w:widowControl/>
        <w:shd w:val="clear" w:color="auto" w:fill="FFFFFF"/>
        <w:spacing w:before="100" w:beforeAutospacing="1" w:after="100" w:afterAutospacing="1" w:line="360" w:lineRule="atLeast"/>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表1</w:t>
      </w:r>
      <w:r>
        <w:rPr>
          <w:rFonts w:hint="default" w:ascii="Times New Roman" w:hAnsi="Times New Roman" w:eastAsia="宋体" w:cs="Times New Roman"/>
          <w:color w:val="auto"/>
          <w:sz w:val="28"/>
          <w:szCs w:val="28"/>
          <w:lang w:val="en-US" w:eastAsia="zh-CN"/>
        </w:rPr>
        <w:t>医院</w:t>
      </w:r>
      <w:r>
        <w:rPr>
          <w:rFonts w:hint="default" w:ascii="Times New Roman" w:hAnsi="Times New Roman" w:eastAsia="宋体" w:cs="Times New Roman"/>
          <w:color w:val="auto"/>
          <w:sz w:val="28"/>
          <w:szCs w:val="28"/>
        </w:rPr>
        <w:t>污染源点位布设</w:t>
      </w:r>
    </w:p>
    <w:tbl>
      <w:tblPr>
        <w:tblStyle w:val="10"/>
        <w:tblW w:w="15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0"/>
        <w:gridCol w:w="2156"/>
        <w:gridCol w:w="1172"/>
        <w:gridCol w:w="2279"/>
        <w:gridCol w:w="2108"/>
        <w:gridCol w:w="2438"/>
        <w:gridCol w:w="1537"/>
        <w:gridCol w:w="469"/>
        <w:gridCol w:w="1060"/>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3" w:hRule="atLeast"/>
          <w:tblHeader/>
          <w:jc w:val="center"/>
        </w:trPr>
        <w:tc>
          <w:tcPr>
            <w:tcW w:w="720"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污染源类型</w:t>
            </w:r>
          </w:p>
        </w:tc>
        <w:tc>
          <w:tcPr>
            <w:tcW w:w="2156"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排污口编号</w:t>
            </w:r>
          </w:p>
        </w:tc>
        <w:tc>
          <w:tcPr>
            <w:tcW w:w="1172"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排污口类型</w:t>
            </w:r>
          </w:p>
        </w:tc>
        <w:tc>
          <w:tcPr>
            <w:tcW w:w="2279"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排污口位置</w:t>
            </w:r>
          </w:p>
          <w:p>
            <w:pPr>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(经纬度)</w:t>
            </w:r>
          </w:p>
        </w:tc>
        <w:tc>
          <w:tcPr>
            <w:tcW w:w="2108"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检测位置分布</w:t>
            </w:r>
          </w:p>
        </w:tc>
        <w:tc>
          <w:tcPr>
            <w:tcW w:w="2438"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监测因子</w:t>
            </w:r>
          </w:p>
        </w:tc>
        <w:tc>
          <w:tcPr>
            <w:tcW w:w="1537"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样品个数</w:t>
            </w:r>
          </w:p>
        </w:tc>
        <w:tc>
          <w:tcPr>
            <w:tcW w:w="469"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监测方式</w:t>
            </w:r>
          </w:p>
        </w:tc>
        <w:tc>
          <w:tcPr>
            <w:tcW w:w="1060"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监测频次</w:t>
            </w:r>
          </w:p>
        </w:tc>
        <w:tc>
          <w:tcPr>
            <w:tcW w:w="1427"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6" w:hRule="atLeast"/>
          <w:jc w:val="center"/>
        </w:trPr>
        <w:tc>
          <w:tcPr>
            <w:tcW w:w="720"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w:t>
            </w:r>
          </w:p>
        </w:tc>
        <w:tc>
          <w:tcPr>
            <w:tcW w:w="2156"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val="0"/>
                <w:bCs/>
                <w:color w:val="auto"/>
                <w:sz w:val="24"/>
                <w:szCs w:val="24"/>
                <w:vertAlign w:val="baseline"/>
                <w:lang w:val="en-US" w:eastAsia="zh-CN"/>
              </w:rPr>
              <w:t>FQ-20332</w:t>
            </w:r>
            <w:r>
              <w:rPr>
                <w:rFonts w:hint="default" w:ascii="Times New Roman" w:hAnsi="Times New Roman" w:eastAsia="宋体" w:cs="Times New Roman"/>
                <w:color w:val="auto"/>
                <w:sz w:val="24"/>
                <w:szCs w:val="24"/>
              </w:rPr>
              <w:t>采样孔个数：</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个，采样点个数：</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个</w:t>
            </w:r>
          </w:p>
        </w:tc>
        <w:tc>
          <w:tcPr>
            <w:tcW w:w="1172"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燃天然气锅炉</w:t>
            </w:r>
            <w:r>
              <w:rPr>
                <w:rFonts w:hint="default" w:ascii="Times New Roman" w:hAnsi="Times New Roman" w:eastAsia="宋体" w:cs="Times New Roman"/>
                <w:color w:val="auto"/>
                <w:sz w:val="24"/>
                <w:szCs w:val="24"/>
              </w:rPr>
              <w:t>废气</w:t>
            </w:r>
          </w:p>
        </w:tc>
        <w:tc>
          <w:tcPr>
            <w:tcW w:w="2279"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北纬N22°29′55.64″东经E113°23′11.81″</w:t>
            </w:r>
          </w:p>
        </w:tc>
        <w:tc>
          <w:tcPr>
            <w:tcW w:w="2108" w:type="dxa"/>
            <w:vMerge w:val="restart"/>
            <w:noWrap w:val="0"/>
            <w:tcMar>
              <w:top w:w="0" w:type="dxa"/>
              <w:left w:w="108" w:type="dxa"/>
              <w:bottom w:w="0" w:type="dxa"/>
              <w:right w:w="108" w:type="dxa"/>
            </w:tcMar>
            <w:vAlign w:val="center"/>
          </w:tcPr>
          <w:p>
            <w:pPr>
              <w:widowControl/>
              <w:jc w:val="center"/>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烟囱高度</w:t>
            </w:r>
            <w:r>
              <w:rPr>
                <w:rFonts w:hint="default" w:ascii="Times New Roman" w:hAnsi="Times New Roman" w:eastAsia="宋体" w:cs="Times New Roman"/>
                <w:color w:val="auto"/>
                <w:sz w:val="24"/>
                <w:szCs w:val="24"/>
                <w:lang w:val="en-US" w:eastAsia="zh-CN" w:bidi="ar"/>
              </w:rPr>
              <w:t>15</w:t>
            </w:r>
            <w:r>
              <w:rPr>
                <w:rFonts w:hint="default" w:ascii="Times New Roman" w:hAnsi="Times New Roman" w:eastAsia="宋体" w:cs="Times New Roman"/>
                <w:color w:val="auto"/>
                <w:sz w:val="24"/>
                <w:szCs w:val="24"/>
                <w:lang w:bidi="ar"/>
              </w:rPr>
              <w:t>米</w:t>
            </w:r>
            <w:r>
              <w:rPr>
                <w:rFonts w:hint="default" w:ascii="Times New Roman" w:hAnsi="Times New Roman" w:eastAsia="宋体" w:cs="Times New Roman"/>
                <w:color w:val="auto"/>
                <w:sz w:val="24"/>
                <w:szCs w:val="24"/>
                <w:lang w:bidi="ar"/>
              </w:rPr>
              <w:br w:type="textWrapping"/>
            </w:r>
            <w:r>
              <w:rPr>
                <w:rFonts w:hint="default" w:ascii="Times New Roman" w:hAnsi="Times New Roman" w:eastAsia="宋体" w:cs="Times New Roman"/>
                <w:color w:val="auto"/>
                <w:sz w:val="24"/>
                <w:szCs w:val="24"/>
                <w:lang w:bidi="ar"/>
              </w:rPr>
              <w:t>监测孔距地面：</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bidi="ar"/>
              </w:rPr>
              <w:t>米</w:t>
            </w: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氮氧化物</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非连续采样 每次采集</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个样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7"/>
              <w:widowControl w:val="0"/>
              <w:autoSpaceDN w:val="0"/>
              <w:spacing w:line="240" w:lineRule="exact"/>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1次/月</w:t>
            </w:r>
          </w:p>
        </w:tc>
        <w:tc>
          <w:tcPr>
            <w:tcW w:w="1427"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登记</w:t>
            </w:r>
            <w:r>
              <w:rPr>
                <w:rFonts w:hint="default" w:ascii="Times New Roman" w:hAnsi="Times New Roman" w:eastAsia="宋体" w:cs="Times New Roman"/>
                <w:color w:val="auto"/>
                <w:sz w:val="24"/>
                <w:szCs w:val="24"/>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9"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jc w:val="center"/>
              <w:textAlignment w:val="center"/>
              <w:rPr>
                <w:rFonts w:hint="default" w:ascii="Times New Roman" w:hAnsi="Times New Roman" w:eastAsia="宋体" w:cs="Times New Roman"/>
                <w:color w:val="auto"/>
                <w:sz w:val="24"/>
                <w:szCs w:val="24"/>
                <w:lang w:bidi="ar"/>
              </w:rPr>
            </w:pP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颗粒物</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非连续采样 每次采集</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个样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7"/>
              <w:widowControl w:val="0"/>
              <w:autoSpaceDN w:val="0"/>
              <w:spacing w:line="240" w:lineRule="exact"/>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1次/年</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jc w:val="center"/>
              <w:textAlignment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二氧化硫</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非连续采样 每次采集</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个样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7"/>
              <w:widowControl w:val="0"/>
              <w:autoSpaceDN w:val="0"/>
              <w:spacing w:line="240" w:lineRule="exact"/>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1次/年</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jc w:val="center"/>
              <w:textAlignment w:val="center"/>
              <w:rPr>
                <w:rFonts w:hint="default" w:ascii="Times New Roman" w:hAnsi="Times New Roman" w:eastAsia="宋体" w:cs="Times New Roman"/>
                <w:color w:val="auto"/>
                <w:sz w:val="24"/>
                <w:szCs w:val="24"/>
                <w:lang w:bidi="ar"/>
              </w:rPr>
            </w:pP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林格曼黑度</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非连续采样 每次采集</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个样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both"/>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1次/年</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w:t>
            </w: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上风向</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污水站周界</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甲烷、臭气浓度、氨（氨气）、氯、硫化氢</w:t>
            </w:r>
          </w:p>
        </w:tc>
        <w:tc>
          <w:tcPr>
            <w:tcW w:w="1537"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非连续采样 至少4个</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重点管理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下风向</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污水站周界</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甲烷、臭气浓度、氨（氨气）、氯、硫化氢</w:t>
            </w:r>
          </w:p>
        </w:tc>
        <w:tc>
          <w:tcPr>
            <w:tcW w:w="153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下风向</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污水站周界</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甲烷、臭气浓度、氨（氨气）、氯、硫化氢</w:t>
            </w:r>
          </w:p>
        </w:tc>
        <w:tc>
          <w:tcPr>
            <w:tcW w:w="153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下风向</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污水站周界</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甲烷、臭气浓度、氨（氨气）、氯、硫化氢</w:t>
            </w:r>
          </w:p>
        </w:tc>
        <w:tc>
          <w:tcPr>
            <w:tcW w:w="153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无组织废气</w:t>
            </w: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上风向</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w:t>
            </w:r>
          </w:p>
        </w:tc>
        <w:tc>
          <w:tcPr>
            <w:tcW w:w="227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1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438" w:type="dxa"/>
            <w:noWrap w:val="0"/>
            <w:tcMar>
              <w:top w:w="0" w:type="dxa"/>
              <w:left w:w="108" w:type="dxa"/>
              <w:bottom w:w="0" w:type="dxa"/>
              <w:right w:w="108" w:type="dxa"/>
            </w:tcMar>
            <w:vAlign w:val="center"/>
          </w:tcPr>
          <w:p>
            <w:pPr>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臭气浓度</w:t>
            </w:r>
          </w:p>
        </w:tc>
        <w:tc>
          <w:tcPr>
            <w:tcW w:w="1537"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非连续采样 至少4个</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eastAsia="宋体" w:cs="Times New Roman"/>
                <w:color w:val="auto"/>
                <w:kern w:val="2"/>
                <w:sz w:val="24"/>
                <w:szCs w:val="24"/>
                <w:lang w:val="en-US" w:eastAsia="zh-CN" w:bidi="ar-SA"/>
              </w:rPr>
              <w:t>1次/年</w:t>
            </w: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下风向</w:t>
            </w:r>
          </w:p>
        </w:tc>
        <w:tc>
          <w:tcPr>
            <w:tcW w:w="1172"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w:t>
            </w:r>
          </w:p>
        </w:tc>
        <w:tc>
          <w:tcPr>
            <w:tcW w:w="227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1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438" w:type="dxa"/>
            <w:noWrap w:val="0"/>
            <w:tcMar>
              <w:top w:w="0" w:type="dxa"/>
              <w:left w:w="108" w:type="dxa"/>
              <w:bottom w:w="0" w:type="dxa"/>
              <w:right w:w="108" w:type="dxa"/>
            </w:tcMar>
            <w:vAlign w:val="center"/>
          </w:tcPr>
          <w:p>
            <w:pPr>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臭气浓度</w:t>
            </w:r>
          </w:p>
        </w:tc>
        <w:tc>
          <w:tcPr>
            <w:tcW w:w="153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eastAsia="宋体" w:cs="Times New Roman"/>
                <w:color w:val="auto"/>
                <w:kern w:val="2"/>
                <w:sz w:val="24"/>
                <w:szCs w:val="24"/>
                <w:lang w:val="en-US" w:eastAsia="zh-CN" w:bidi="ar-SA"/>
              </w:rPr>
              <w:t>1次/年</w:t>
            </w: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下风向</w:t>
            </w:r>
          </w:p>
        </w:tc>
        <w:tc>
          <w:tcPr>
            <w:tcW w:w="1172"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w:t>
            </w:r>
          </w:p>
        </w:tc>
        <w:tc>
          <w:tcPr>
            <w:tcW w:w="227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1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438" w:type="dxa"/>
            <w:noWrap w:val="0"/>
            <w:tcMar>
              <w:top w:w="0" w:type="dxa"/>
              <w:left w:w="108" w:type="dxa"/>
              <w:bottom w:w="0" w:type="dxa"/>
              <w:right w:w="108" w:type="dxa"/>
            </w:tcMar>
            <w:vAlign w:val="center"/>
          </w:tcPr>
          <w:p>
            <w:pPr>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臭气浓度</w:t>
            </w:r>
          </w:p>
        </w:tc>
        <w:tc>
          <w:tcPr>
            <w:tcW w:w="153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eastAsia="宋体" w:cs="Times New Roman"/>
                <w:color w:val="auto"/>
                <w:kern w:val="2"/>
                <w:sz w:val="24"/>
                <w:szCs w:val="24"/>
                <w:lang w:val="en-US" w:eastAsia="zh-CN" w:bidi="ar-SA"/>
              </w:rPr>
              <w:t>1次/年</w:t>
            </w: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下风向</w:t>
            </w:r>
          </w:p>
        </w:tc>
        <w:tc>
          <w:tcPr>
            <w:tcW w:w="1172"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w:t>
            </w:r>
          </w:p>
        </w:tc>
        <w:tc>
          <w:tcPr>
            <w:tcW w:w="227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1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438" w:type="dxa"/>
            <w:noWrap w:val="0"/>
            <w:tcMar>
              <w:top w:w="0" w:type="dxa"/>
              <w:left w:w="108" w:type="dxa"/>
              <w:bottom w:w="0" w:type="dxa"/>
              <w:right w:w="108" w:type="dxa"/>
            </w:tcMar>
            <w:vAlign w:val="center"/>
          </w:tcPr>
          <w:p>
            <w:pPr>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臭气浓度</w:t>
            </w:r>
          </w:p>
        </w:tc>
        <w:tc>
          <w:tcPr>
            <w:tcW w:w="153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widowControl/>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eastAsia="宋体" w:cs="Times New Roman"/>
                <w:color w:val="auto"/>
                <w:kern w:val="2"/>
                <w:sz w:val="24"/>
                <w:szCs w:val="24"/>
                <w:lang w:val="en-US" w:eastAsia="zh-CN" w:bidi="ar-SA"/>
              </w:rPr>
              <w:t>1次/年</w:t>
            </w: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w:t>
            </w:r>
          </w:p>
        </w:tc>
        <w:tc>
          <w:tcPr>
            <w:tcW w:w="2156"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WS001</w:t>
            </w:r>
          </w:p>
        </w:tc>
        <w:tc>
          <w:tcPr>
            <w:tcW w:w="1172"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实验检验污水排放口</w:t>
            </w:r>
          </w:p>
        </w:tc>
        <w:tc>
          <w:tcPr>
            <w:tcW w:w="2279" w:type="dxa"/>
            <w:vMerge w:val="restart"/>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北纬N：22°29′47.92″东经E：113°23′30.91″</w:t>
            </w:r>
          </w:p>
        </w:tc>
        <w:tc>
          <w:tcPr>
            <w:tcW w:w="2108"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总汞</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总镉</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总铬</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六价铬</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总砷</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总铅</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WS-00794</w:t>
            </w:r>
          </w:p>
        </w:tc>
        <w:tc>
          <w:tcPr>
            <w:tcW w:w="1172"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综合污水排放口</w:t>
            </w:r>
          </w:p>
        </w:tc>
        <w:tc>
          <w:tcPr>
            <w:tcW w:w="2279" w:type="dxa"/>
            <w:vMerge w:val="restart"/>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北纬N：22°29′48.26″东经E：113°23′30.10″</w:t>
            </w: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pH值</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1次/12小时</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色度</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eastAsia" w:ascii="Times New Roman" w:hAnsi="Times New Roman" w:eastAsia="宋体" w:cs="Times New Roman"/>
                <w:color w:val="auto"/>
                <w:kern w:val="2"/>
                <w:sz w:val="24"/>
                <w:szCs w:val="24"/>
                <w:lang w:val="en-US" w:eastAsia="zh-CN" w:bidi="ar-SA"/>
              </w:rPr>
              <w:t>/</w:t>
            </w:r>
          </w:p>
        </w:tc>
        <w:tc>
          <w:tcPr>
            <w:tcW w:w="46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悬浮物</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1次/周</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五日生化需氧量</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化学需氧量</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1次/周</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阴离子表面活性剂</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氨氮（NH3-N）</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eastAsia" w:ascii="Times New Roman" w:hAnsi="Times New Roman" w:eastAsia="宋体" w:cs="Times New Roman"/>
                <w:color w:val="auto"/>
                <w:kern w:val="2"/>
                <w:sz w:val="24"/>
                <w:szCs w:val="24"/>
                <w:lang w:val="en-US" w:eastAsia="zh-CN" w:bidi="ar-SA"/>
              </w:rPr>
              <w:t>/</w:t>
            </w:r>
          </w:p>
        </w:tc>
        <w:tc>
          <w:tcPr>
            <w:tcW w:w="46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石油类</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动植物油</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挥发酚</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流量</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cs="Times New Roman"/>
                <w:color w:val="auto"/>
                <w:kern w:val="2"/>
                <w:sz w:val="24"/>
                <w:szCs w:val="24"/>
                <w:lang w:val="en-US" w:eastAsia="zh-CN" w:bidi="ar-SA"/>
              </w:rPr>
              <w:t>自动监测</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总氰化物</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1次/季</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总余氯（以Cl计）</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eastAsia" w:ascii="Times New Roman" w:hAnsi="Times New Roman" w:eastAsia="宋体" w:cs="Times New Roman"/>
                <w:color w:val="auto"/>
                <w:kern w:val="2"/>
                <w:sz w:val="24"/>
                <w:szCs w:val="24"/>
                <w:lang w:val="en-US" w:eastAsia="zh-CN" w:bidi="ar-SA"/>
              </w:rPr>
              <w:t>/</w:t>
            </w:r>
          </w:p>
        </w:tc>
        <w:tc>
          <w:tcPr>
            <w:tcW w:w="46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粪大肠菌群数/（MPN/L）</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混合采样 至少3个混合样</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1次/月</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肠道致病菌</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eastAsia" w:ascii="Times New Roman" w:hAnsi="Times New Roman" w:eastAsia="宋体" w:cs="Times New Roman"/>
                <w:color w:val="auto"/>
                <w:kern w:val="2"/>
                <w:sz w:val="24"/>
                <w:szCs w:val="24"/>
                <w:lang w:val="en-US" w:eastAsia="zh-CN" w:bidi="ar-SA"/>
              </w:rPr>
              <w:t>/</w:t>
            </w:r>
          </w:p>
        </w:tc>
        <w:tc>
          <w:tcPr>
            <w:tcW w:w="46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172"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27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08"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肠道病毒</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rPr>
            </w:pPr>
            <w:r>
              <w:rPr>
                <w:rStyle w:val="11"/>
                <w:rFonts w:hint="eastAsia" w:ascii="Times New Roman" w:hAnsi="Times New Roman" w:eastAsia="宋体" w:cs="Times New Roman"/>
                <w:color w:val="auto"/>
                <w:kern w:val="2"/>
                <w:sz w:val="24"/>
                <w:szCs w:val="24"/>
                <w:lang w:val="en-US" w:eastAsia="zh-CN" w:bidi="ar-SA"/>
              </w:rPr>
              <w:t>/</w:t>
            </w:r>
          </w:p>
        </w:tc>
        <w:tc>
          <w:tcPr>
            <w:tcW w:w="46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1427"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w:t>
            </w: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DW006</w:t>
            </w:r>
          </w:p>
        </w:tc>
        <w:tc>
          <w:tcPr>
            <w:tcW w:w="1172"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接触池出口</w:t>
            </w:r>
          </w:p>
        </w:tc>
        <w:tc>
          <w:tcPr>
            <w:tcW w:w="227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113度 23分 11.80秒，22度 29分 55.43秒</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438" w:type="dxa"/>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总余氯（以Cl计）</w:t>
            </w:r>
          </w:p>
        </w:tc>
        <w:tc>
          <w:tcPr>
            <w:tcW w:w="1537" w:type="dxa"/>
            <w:noWrap w:val="0"/>
            <w:tcMar>
              <w:top w:w="0" w:type="dxa"/>
              <w:left w:w="108" w:type="dxa"/>
              <w:bottom w:w="0" w:type="dxa"/>
              <w:right w:w="108" w:type="dxa"/>
            </w:tcMar>
            <w:vAlign w:val="center"/>
          </w:tcPr>
          <w:p>
            <w:pPr>
              <w:widowControl/>
              <w:snapToGrid w:val="0"/>
              <w:jc w:val="center"/>
              <w:rPr>
                <w:rStyle w:val="11"/>
                <w:rFonts w:hint="eastAsia" w:ascii="Times New Roman" w:hAnsi="Times New Roman" w:eastAsia="宋体" w:cs="Times New Roman"/>
                <w:color w:val="auto"/>
                <w:kern w:val="2"/>
                <w:sz w:val="24"/>
                <w:szCs w:val="24"/>
                <w:lang w:val="en-US" w:eastAsia="zh-CN" w:bidi="ar-SA"/>
              </w:rPr>
            </w:pPr>
            <w:r>
              <w:rPr>
                <w:rStyle w:val="11"/>
                <w:rFonts w:hint="eastAsia" w:ascii="Times New Roman" w:hAnsi="Times New Roman" w:eastAsia="宋体" w:cs="Times New Roman"/>
                <w:color w:val="auto"/>
                <w:kern w:val="2"/>
                <w:sz w:val="24"/>
                <w:szCs w:val="24"/>
                <w:lang w:val="en-US" w:eastAsia="zh-CN" w:bidi="ar-SA"/>
              </w:rPr>
              <w:t>/</w:t>
            </w:r>
          </w:p>
        </w:tc>
        <w:tc>
          <w:tcPr>
            <w:tcW w:w="46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w:t>
            </w:r>
          </w:p>
        </w:tc>
        <w:tc>
          <w:tcPr>
            <w:tcW w:w="1060" w:type="dxa"/>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噪声（厂界紧邻交通干线不布点）</w:t>
            </w: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东</w:t>
            </w:r>
            <w:r>
              <w:rPr>
                <w:rFonts w:hint="default" w:ascii="Times New Roman" w:hAnsi="Times New Roman" w:eastAsia="宋体" w:cs="Times New Roman"/>
                <w:color w:val="auto"/>
                <w:sz w:val="24"/>
                <w:szCs w:val="24"/>
              </w:rPr>
              <w:t>面边界外</w:t>
            </w:r>
          </w:p>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1米</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北纬N：22°29′</w:t>
            </w:r>
            <w:r>
              <w:rPr>
                <w:rFonts w:hint="eastAsia" w:ascii="Times New Roman" w:hAnsi="Times New Roman" w:eastAsia="宋体" w:cs="Times New Roman"/>
                <w:color w:val="auto"/>
                <w:sz w:val="24"/>
                <w:szCs w:val="24"/>
                <w:lang w:val="en-US" w:eastAsia="zh-CN"/>
              </w:rPr>
              <w:t>55</w:t>
            </w:r>
            <w:r>
              <w:rPr>
                <w:rFonts w:hint="default" w:ascii="Times New Roman" w:hAnsi="Times New Roman" w:eastAsia="宋体" w:cs="Times New Roman"/>
                <w:color w:val="auto"/>
                <w:sz w:val="24"/>
                <w:szCs w:val="24"/>
              </w:rPr>
              <w:t>.95″东经E：113°23′</w:t>
            </w:r>
            <w:r>
              <w:rPr>
                <w:rFonts w:hint="eastAsia" w:ascii="Times New Roman" w:hAnsi="Times New Roman" w:eastAsia="宋体" w:cs="Times New Roman"/>
                <w:color w:val="auto"/>
                <w:sz w:val="24"/>
                <w:szCs w:val="24"/>
                <w:lang w:val="en-US" w:eastAsia="zh-CN"/>
              </w:rPr>
              <w:t>16.63</w:t>
            </w: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每季度昼间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夜间各</w:t>
            </w:r>
            <w:r>
              <w:rPr>
                <w:rFonts w:hint="default" w:ascii="Times New Roman" w:hAnsi="Times New Roman" w:eastAsia="宋体" w:cs="Times New Roman"/>
                <w:color w:val="auto"/>
                <w:sz w:val="24"/>
                <w:szCs w:val="24"/>
              </w:rPr>
              <w:t>一次</w:t>
            </w: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rPr>
              <w:t>面边界外</w:t>
            </w:r>
          </w:p>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1米</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北纬N：22°29′</w:t>
            </w:r>
            <w:r>
              <w:rPr>
                <w:rFonts w:hint="eastAsia" w:ascii="Times New Roman" w:hAnsi="Times New Roman" w:eastAsia="宋体" w:cs="Times New Roman"/>
                <w:color w:val="auto"/>
                <w:sz w:val="24"/>
                <w:szCs w:val="24"/>
                <w:lang w:val="en-US" w:eastAsia="zh-CN"/>
              </w:rPr>
              <w:t>52.14</w:t>
            </w:r>
            <w:r>
              <w:rPr>
                <w:rFonts w:hint="default" w:ascii="Times New Roman" w:hAnsi="Times New Roman" w:eastAsia="宋体" w:cs="Times New Roman"/>
                <w:color w:val="auto"/>
                <w:sz w:val="24"/>
                <w:szCs w:val="24"/>
              </w:rPr>
              <w:t>″东经E：113°23′</w:t>
            </w:r>
            <w:r>
              <w:rPr>
                <w:rFonts w:hint="eastAsia" w:ascii="Times New Roman" w:hAnsi="Times New Roman" w:eastAsia="宋体" w:cs="Times New Roman"/>
                <w:color w:val="auto"/>
                <w:sz w:val="24"/>
                <w:szCs w:val="24"/>
                <w:lang w:val="en-US" w:eastAsia="zh-CN"/>
              </w:rPr>
              <w:t>16.77</w:t>
            </w: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西</w:t>
            </w:r>
            <w:r>
              <w:rPr>
                <w:rFonts w:hint="default" w:ascii="Times New Roman" w:hAnsi="Times New Roman" w:eastAsia="宋体" w:cs="Times New Roman"/>
                <w:color w:val="auto"/>
                <w:sz w:val="24"/>
                <w:szCs w:val="24"/>
              </w:rPr>
              <w:t>面边界外</w:t>
            </w:r>
          </w:p>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1米</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北纬N：22°29′</w:t>
            </w:r>
            <w:r>
              <w:rPr>
                <w:rFonts w:hint="eastAsia" w:ascii="Times New Roman" w:hAnsi="Times New Roman" w:eastAsia="宋体" w:cs="Times New Roman"/>
                <w:color w:val="auto"/>
                <w:sz w:val="24"/>
                <w:szCs w:val="24"/>
                <w:lang w:val="en-US" w:eastAsia="zh-CN"/>
              </w:rPr>
              <w:t>50.94</w:t>
            </w:r>
            <w:r>
              <w:rPr>
                <w:rFonts w:hint="default" w:ascii="Times New Roman" w:hAnsi="Times New Roman" w:eastAsia="宋体" w:cs="Times New Roman"/>
                <w:color w:val="auto"/>
                <w:sz w:val="24"/>
                <w:szCs w:val="24"/>
              </w:rPr>
              <w:t>″东经E：113°23′</w:t>
            </w:r>
            <w:r>
              <w:rPr>
                <w:rFonts w:hint="eastAsia" w:ascii="Times New Roman" w:hAnsi="Times New Roman" w:eastAsia="宋体" w:cs="Times New Roman"/>
                <w:color w:val="auto"/>
                <w:sz w:val="24"/>
                <w:szCs w:val="24"/>
                <w:lang w:val="en-US" w:eastAsia="zh-CN"/>
              </w:rPr>
              <w:t>8.12</w:t>
            </w: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2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2156"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rPr>
              <w:t>面边界外</w:t>
            </w:r>
          </w:p>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1米</w:t>
            </w:r>
          </w:p>
        </w:tc>
        <w:tc>
          <w:tcPr>
            <w:tcW w:w="1172"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27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北纬N：22°29′</w:t>
            </w:r>
            <w:r>
              <w:rPr>
                <w:rFonts w:hint="eastAsia" w:ascii="Times New Roman" w:hAnsi="Times New Roman" w:eastAsia="宋体" w:cs="Times New Roman"/>
                <w:color w:val="auto"/>
                <w:sz w:val="24"/>
                <w:szCs w:val="24"/>
                <w:lang w:val="en-US" w:eastAsia="zh-CN"/>
              </w:rPr>
              <w:t>55.78</w:t>
            </w:r>
            <w:r>
              <w:rPr>
                <w:rFonts w:hint="default" w:ascii="Times New Roman" w:hAnsi="Times New Roman" w:eastAsia="宋体" w:cs="Times New Roman"/>
                <w:color w:val="auto"/>
                <w:sz w:val="24"/>
                <w:szCs w:val="24"/>
              </w:rPr>
              <w:t>″东经E：113°23′</w:t>
            </w:r>
            <w:r>
              <w:rPr>
                <w:rFonts w:hint="eastAsia" w:ascii="Times New Roman" w:hAnsi="Times New Roman" w:eastAsia="宋体" w:cs="Times New Roman"/>
                <w:color w:val="auto"/>
                <w:sz w:val="24"/>
                <w:szCs w:val="24"/>
                <w:lang w:val="en-US" w:eastAsia="zh-CN"/>
              </w:rPr>
              <w:t>3.59</w:t>
            </w:r>
            <w:r>
              <w:rPr>
                <w:rFonts w:hint="default" w:ascii="Times New Roman" w:hAnsi="Times New Roman" w:eastAsia="宋体" w:cs="Times New Roman"/>
                <w:color w:val="auto"/>
                <w:sz w:val="24"/>
                <w:szCs w:val="24"/>
              </w:rPr>
              <w:t>″</w:t>
            </w:r>
          </w:p>
        </w:tc>
        <w:tc>
          <w:tcPr>
            <w:tcW w:w="21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243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153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46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p>
        </w:tc>
        <w:tc>
          <w:tcPr>
            <w:tcW w:w="1060"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42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r>
    </w:tbl>
    <w:p>
      <w:pPr>
        <w:widowControl/>
        <w:shd w:val="clear" w:color="auto" w:fill="FFFFFF"/>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注：（1）监测方式是指①“自动监测”、②“手工监测”、③“手工监测与自动监测相结合</w:t>
      </w:r>
    </w:p>
    <w:p>
      <w:pPr>
        <w:widowControl/>
        <w:shd w:val="clear" w:color="auto" w:fill="FFFFFF"/>
        <w:spacing w:before="217" w:beforeLines="50" w:line="360" w:lineRule="auto"/>
        <w:outlineLvl w:val="1"/>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2.2监测时间及工况记录</w:t>
      </w:r>
    </w:p>
    <w:p>
      <w:pPr>
        <w:widowControl/>
        <w:shd w:val="clear" w:color="auto" w:fill="FFFFFF"/>
        <w:spacing w:before="217"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记录每次开展自行监测的时间，以及开展自行监测时的生产工况。</w:t>
      </w:r>
    </w:p>
    <w:p>
      <w:pPr>
        <w:widowControl/>
        <w:shd w:val="clear" w:color="auto" w:fill="FFFFFF"/>
        <w:spacing w:before="217" w:beforeLines="50" w:line="360" w:lineRule="auto"/>
        <w:outlineLvl w:val="1"/>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2.3监测分析方法、依据和仪器</w:t>
      </w:r>
    </w:p>
    <w:p>
      <w:pPr>
        <w:widowControl/>
        <w:shd w:val="clear" w:color="auto" w:fill="FFFFFF"/>
        <w:spacing w:before="217"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废水、废气以及噪声将委托有资质的检测机构代为开展检测，监测分析方法、依据及仪器见表2。</w:t>
      </w:r>
    </w:p>
    <w:p>
      <w:pPr>
        <w:widowControl/>
        <w:shd w:val="clear" w:color="auto" w:fill="FFFFFF"/>
        <w:spacing w:before="217" w:beforeLines="50" w:line="360" w:lineRule="auto"/>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表2监测分析方法、依据和仪器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0"/>
        <w:gridCol w:w="1027"/>
        <w:gridCol w:w="3005"/>
        <w:gridCol w:w="1565"/>
        <w:gridCol w:w="1117"/>
        <w:gridCol w:w="1550"/>
        <w:gridCol w:w="1809"/>
        <w:gridCol w:w="2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blHeader/>
          <w:jc w:val="center"/>
        </w:trPr>
        <w:tc>
          <w:tcPr>
            <w:tcW w:w="1587" w:type="dxa"/>
            <w:gridSpan w:val="2"/>
            <w:shd w:val="clear" w:color="auto" w:fill="D9D9D9"/>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监测因子</w:t>
            </w:r>
          </w:p>
        </w:tc>
        <w:tc>
          <w:tcPr>
            <w:tcW w:w="3005" w:type="dxa"/>
            <w:shd w:val="clear" w:color="auto" w:fill="D9D9D9"/>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监测分析方法</w:t>
            </w:r>
          </w:p>
        </w:tc>
        <w:tc>
          <w:tcPr>
            <w:tcW w:w="1565" w:type="dxa"/>
            <w:shd w:val="clear" w:color="auto" w:fill="D9D9D9"/>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方法来源依据</w:t>
            </w:r>
          </w:p>
        </w:tc>
        <w:tc>
          <w:tcPr>
            <w:tcW w:w="1117" w:type="dxa"/>
            <w:shd w:val="clear" w:color="auto" w:fill="D9D9D9"/>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检出限</w:t>
            </w:r>
          </w:p>
        </w:tc>
        <w:tc>
          <w:tcPr>
            <w:tcW w:w="1550" w:type="dxa"/>
            <w:shd w:val="clear" w:color="auto" w:fill="D9D9D9"/>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监测仪器名称</w:t>
            </w:r>
          </w:p>
        </w:tc>
        <w:tc>
          <w:tcPr>
            <w:tcW w:w="1809" w:type="dxa"/>
            <w:shd w:val="clear" w:color="auto" w:fill="D9D9D9"/>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采样方法</w:t>
            </w:r>
          </w:p>
        </w:tc>
        <w:tc>
          <w:tcPr>
            <w:tcW w:w="2961" w:type="dxa"/>
            <w:shd w:val="clear" w:color="auto" w:fill="D9D9D9"/>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保存方法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restart"/>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027" w:type="dxa"/>
            <w:noWrap w:val="0"/>
            <w:tcMar>
              <w:top w:w="0" w:type="dxa"/>
              <w:left w:w="57" w:type="dxa"/>
              <w:bottom w:w="0" w:type="dxa"/>
              <w:right w:w="57" w:type="dxa"/>
            </w:tcMar>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bidi="ar-SA"/>
              </w:rPr>
            </w:pPr>
            <w:r>
              <w:rPr>
                <w:rStyle w:val="11"/>
                <w:rFonts w:hint="default" w:ascii="Times New Roman" w:hAnsi="Times New Roman" w:eastAsia="宋体" w:cs="Times New Roman"/>
                <w:color w:val="auto"/>
                <w:kern w:val="0"/>
                <w:sz w:val="21"/>
                <w:szCs w:val="21"/>
                <w:lang w:val="en-US" w:eastAsia="zh-CN" w:bidi="ar-SA"/>
              </w:rPr>
              <w:t>氮氧化物</w:t>
            </w:r>
          </w:p>
        </w:tc>
        <w:tc>
          <w:tcPr>
            <w:tcW w:w="3005" w:type="dxa"/>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 氮氧化物的测定 定电位电解法HJ 693-2014</w:t>
            </w:r>
          </w:p>
        </w:tc>
        <w:tc>
          <w:tcPr>
            <w:tcW w:w="156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排污许可证</w:t>
            </w: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3mg/m³</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自动烟尘气测试仪</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 397</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693-2014</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continue"/>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bidi="ar-SA"/>
              </w:rPr>
            </w:pPr>
            <w:r>
              <w:rPr>
                <w:rStyle w:val="11"/>
                <w:rFonts w:hint="default" w:ascii="Times New Roman" w:hAnsi="Times New Roman" w:eastAsia="宋体" w:cs="Times New Roman"/>
                <w:color w:val="auto"/>
                <w:kern w:val="0"/>
                <w:sz w:val="21"/>
                <w:szCs w:val="21"/>
                <w:lang w:val="en-US" w:eastAsia="zh-CN" w:bidi="ar-SA"/>
              </w:rPr>
              <w:t>颗粒物</w:t>
            </w:r>
          </w:p>
        </w:tc>
        <w:tc>
          <w:tcPr>
            <w:tcW w:w="3005" w:type="dxa"/>
            <w:noWrap w:val="0"/>
            <w:tcMar>
              <w:top w:w="0" w:type="dxa"/>
              <w:left w:w="57" w:type="dxa"/>
              <w:bottom w:w="0" w:type="dxa"/>
              <w:right w:w="57" w:type="dxa"/>
            </w:tcMar>
            <w:vAlign w:val="center"/>
          </w:tcPr>
          <w:p>
            <w:pPr>
              <w:pStyle w:val="4"/>
              <w:spacing w:line="240" w:lineRule="auto"/>
              <w:rPr>
                <w:rFonts w:hint="default" w:ascii="Times New Roman" w:hAnsi="Times New Roman" w:eastAsia="宋体" w:cs="Times New Roman"/>
                <w:color w:val="auto"/>
                <w:sz w:val="21"/>
                <w:szCs w:val="21"/>
              </w:rPr>
            </w:pPr>
            <w:r>
              <w:rPr>
                <w:rFonts w:hint="eastAsia"/>
                <w:color w:val="auto"/>
                <w:sz w:val="21"/>
                <w:szCs w:val="21"/>
              </w:rPr>
              <w:t>固定污染源排气中颗粒物测定与气态污染物采样方法GB/T 16157-1996</w:t>
            </w:r>
          </w:p>
        </w:tc>
        <w:tc>
          <w:tcPr>
            <w:tcW w:w="156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w:t>
            </w: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电子分析天平</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 397</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16157-1996</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采集好的样品应尽快分析。如不能及时分析，采取密封、避光、冷藏等措施保存。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continue"/>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bidi="ar-SA"/>
              </w:rPr>
            </w:pPr>
            <w:r>
              <w:rPr>
                <w:rStyle w:val="11"/>
                <w:rFonts w:hint="default" w:ascii="Times New Roman" w:hAnsi="Times New Roman" w:eastAsia="宋体" w:cs="Times New Roman"/>
                <w:color w:val="auto"/>
                <w:kern w:val="0"/>
                <w:sz w:val="21"/>
                <w:szCs w:val="21"/>
                <w:lang w:val="en-US" w:eastAsia="zh-CN" w:bidi="ar-SA"/>
              </w:rPr>
              <w:t>二氧化硫</w:t>
            </w:r>
          </w:p>
        </w:tc>
        <w:tc>
          <w:tcPr>
            <w:tcW w:w="3005" w:type="dxa"/>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固定污染源排气中二氧化硫的测定 定电位电解法HJ 57-2017</w:t>
            </w:r>
          </w:p>
        </w:tc>
        <w:tc>
          <w:tcPr>
            <w:tcW w:w="1565"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w:t>
            </w:r>
          </w:p>
        </w:tc>
        <w:tc>
          <w:tcPr>
            <w:tcW w:w="1117"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3mg/m³</w:t>
            </w:r>
          </w:p>
        </w:tc>
        <w:tc>
          <w:tcPr>
            <w:tcW w:w="1550"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自动烟尘气测试仪</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 397</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57-2017</w:t>
            </w:r>
          </w:p>
        </w:tc>
        <w:tc>
          <w:tcPr>
            <w:tcW w:w="2961"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bidi="ar-SA"/>
              </w:rPr>
            </w:pPr>
            <w:r>
              <w:rPr>
                <w:rStyle w:val="11"/>
                <w:rFonts w:hint="default" w:ascii="Times New Roman" w:hAnsi="Times New Roman" w:eastAsia="宋体" w:cs="Times New Roman"/>
                <w:color w:val="auto"/>
                <w:kern w:val="0"/>
                <w:sz w:val="21"/>
                <w:szCs w:val="21"/>
                <w:lang w:val="en-US" w:eastAsia="zh-CN" w:bidi="ar-SA"/>
              </w:rPr>
              <w:t>林格曼黑度</w:t>
            </w:r>
          </w:p>
        </w:tc>
        <w:tc>
          <w:tcPr>
            <w:tcW w:w="3005" w:type="dxa"/>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固定污染源排放烟气黑度的测定 林格曼烟气黑度图法HJ/T 398-2007</w:t>
            </w:r>
          </w:p>
        </w:tc>
        <w:tc>
          <w:tcPr>
            <w:tcW w:w="156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排污许可证</w:t>
            </w: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林格曼烟气浓度图</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 397</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 398-2007</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restart"/>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w:t>
            </w: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甲烷</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环境空气 总烃、甲烷和非甲烷总烃的测定 直接进样-气相色谱法（HJ 604-2017 代替 HJ 604-2011）</w:t>
            </w:r>
          </w:p>
        </w:tc>
        <w:tc>
          <w:tcPr>
            <w:tcW w:w="1565"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排污许可证</w:t>
            </w: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0.07mg/m³（以碳计）</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气相色谱仪</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HJ/T55</w:t>
            </w:r>
          </w:p>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HJ/T38-2017</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样品常温避光保存，采样后尽快完成分析。玻璃注射器保存的样品，放置时间不超过8h；气袋保存的样品，放置时间不超过8h，如仅测定甲烷，应在7d内完成。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widowControl/>
              <w:spacing w:before="15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臭气浓度</w:t>
            </w:r>
          </w:p>
        </w:tc>
        <w:tc>
          <w:tcPr>
            <w:tcW w:w="3005" w:type="dxa"/>
            <w:noWrap w:val="0"/>
            <w:tcMar>
              <w:top w:w="0" w:type="dxa"/>
              <w:left w:w="57" w:type="dxa"/>
              <w:bottom w:w="0" w:type="dxa"/>
              <w:right w:w="57" w:type="dxa"/>
            </w:tcMar>
            <w:vAlign w:val="center"/>
          </w:tcPr>
          <w:p>
            <w:pPr>
              <w:widowControl/>
              <w:spacing w:before="15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Times New Roman" w:cs="Times New Roman"/>
                <w:sz w:val="21"/>
                <w:szCs w:val="21"/>
              </w:rPr>
              <w:t>环境空气和废气臭气的测定</w:t>
            </w:r>
            <w:r>
              <w:rPr>
                <w:rFonts w:hint="eastAsia" w:ascii="宋体" w:hAnsi="Times New Roman" w:cs="Times New Roman"/>
                <w:sz w:val="21"/>
                <w:szCs w:val="21"/>
                <w:lang w:val="en-US" w:eastAsia="zh-CN"/>
              </w:rPr>
              <w:t xml:space="preserve"> </w:t>
            </w:r>
            <w:r>
              <w:rPr>
                <w:rFonts w:hint="eastAsia" w:ascii="宋体" w:hAnsi="Times New Roman" w:cs="Times New Roman"/>
                <w:sz w:val="21"/>
                <w:szCs w:val="21"/>
              </w:rPr>
              <w:t>三点比较式臭袋法</w:t>
            </w:r>
            <w:r>
              <w:rPr>
                <w:rFonts w:hint="eastAsia" w:ascii="宋体" w:hAnsi="Times New Roman" w:cs="Times New Roman"/>
                <w:sz w:val="21"/>
                <w:szCs w:val="21"/>
                <w:lang w:val="en-US" w:eastAsia="zh-CN"/>
              </w:rPr>
              <w:t xml:space="preserve"> </w:t>
            </w:r>
            <w:r>
              <w:rPr>
                <w:rFonts w:hint="eastAsia" w:ascii="宋体" w:hAnsi="Times New Roman" w:cs="Times New Roman"/>
                <w:sz w:val="21"/>
                <w:szCs w:val="21"/>
              </w:rPr>
              <w:t>（HJ1262-2022）</w:t>
            </w:r>
          </w:p>
        </w:tc>
        <w:tc>
          <w:tcPr>
            <w:tcW w:w="1565" w:type="dxa"/>
            <w:noWrap w:val="0"/>
            <w:vAlign w:val="center"/>
          </w:tcPr>
          <w:p>
            <w:pPr>
              <w:spacing w:line="276" w:lineRule="auto"/>
              <w:jc w:val="center"/>
              <w:rPr>
                <w:rFonts w:hint="default" w:ascii="宋体" w:hAnsi="Times New Roman" w:eastAsia="宋体" w:cs="Times New Roman"/>
                <w:kern w:val="2"/>
                <w:sz w:val="21"/>
                <w:szCs w:val="21"/>
                <w:lang w:val="en-US" w:eastAsia="zh-CN" w:bidi="ar-SA"/>
              </w:rPr>
            </w:pPr>
            <w:r>
              <w:rPr>
                <w:rFonts w:hint="eastAsia" w:ascii="宋体" w:hAnsi="Times New Roman" w:cs="Times New Roman"/>
                <w:sz w:val="21"/>
                <w:szCs w:val="21"/>
              </w:rPr>
              <w:t>排放标准/ 排污许可证</w:t>
            </w:r>
          </w:p>
        </w:tc>
        <w:tc>
          <w:tcPr>
            <w:tcW w:w="1117" w:type="dxa"/>
            <w:noWrap w:val="0"/>
            <w:vAlign w:val="center"/>
          </w:tcPr>
          <w:p>
            <w:pPr>
              <w:spacing w:line="276" w:lineRule="auto"/>
              <w:jc w:val="center"/>
              <w:rPr>
                <w:rFonts w:hint="default" w:ascii="宋体" w:hAnsi="Times New Roman" w:eastAsia="宋体" w:cs="Times New Roman"/>
                <w:kern w:val="2"/>
                <w:sz w:val="21"/>
                <w:szCs w:val="21"/>
                <w:lang w:val="en-US" w:eastAsia="zh-CN" w:bidi="ar-SA"/>
              </w:rPr>
            </w:pPr>
            <w:r>
              <w:rPr>
                <w:rFonts w:hint="eastAsia" w:ascii="宋体" w:hAnsi="Times New Roman" w:cs="Times New Roman"/>
                <w:sz w:val="21"/>
                <w:szCs w:val="21"/>
              </w:rPr>
              <w:t>/</w:t>
            </w:r>
          </w:p>
        </w:tc>
        <w:tc>
          <w:tcPr>
            <w:tcW w:w="1550" w:type="dxa"/>
            <w:noWrap w:val="0"/>
            <w:vAlign w:val="center"/>
          </w:tcPr>
          <w:p>
            <w:pPr>
              <w:spacing w:line="276" w:lineRule="auto"/>
              <w:jc w:val="center"/>
              <w:rPr>
                <w:rFonts w:hint="default" w:ascii="宋体" w:hAnsi="Times New Roman" w:eastAsia="宋体" w:cs="Times New Roman"/>
                <w:kern w:val="2"/>
                <w:sz w:val="21"/>
                <w:szCs w:val="21"/>
                <w:lang w:val="en-US" w:eastAsia="zh-CN" w:bidi="ar-SA"/>
              </w:rPr>
            </w:pPr>
            <w:r>
              <w:rPr>
                <w:rFonts w:hint="eastAsia" w:ascii="宋体" w:hAnsi="Times New Roman" w:cs="Times New Roman"/>
                <w:sz w:val="21"/>
                <w:szCs w:val="21"/>
              </w:rPr>
              <w:t>/</w:t>
            </w:r>
          </w:p>
        </w:tc>
        <w:tc>
          <w:tcPr>
            <w:tcW w:w="1809" w:type="dxa"/>
            <w:noWrap w:val="0"/>
            <w:vAlign w:val="center"/>
          </w:tcPr>
          <w:p>
            <w:pPr>
              <w:spacing w:line="276" w:lineRule="auto"/>
              <w:jc w:val="center"/>
              <w:rPr>
                <w:rFonts w:hint="eastAsia" w:ascii="宋体" w:hAnsi="Times New Roman" w:cs="Times New Roman"/>
                <w:sz w:val="21"/>
                <w:szCs w:val="21"/>
              </w:rPr>
            </w:pPr>
            <w:r>
              <w:rPr>
                <w:rFonts w:hint="eastAsia" w:ascii="宋体" w:hAnsi="Times New Roman" w:cs="Times New Roman"/>
                <w:sz w:val="21"/>
                <w:szCs w:val="21"/>
              </w:rPr>
              <w:t>HJ/T 397</w:t>
            </w:r>
          </w:p>
          <w:p>
            <w:pPr>
              <w:spacing w:line="276" w:lineRule="auto"/>
              <w:jc w:val="center"/>
              <w:rPr>
                <w:rFonts w:hint="default" w:ascii="宋体" w:hAnsi="Times New Roman" w:cs="Times New Roman"/>
                <w:sz w:val="21"/>
                <w:szCs w:val="21"/>
              </w:rPr>
            </w:pPr>
            <w:r>
              <w:rPr>
                <w:rFonts w:hint="default" w:ascii="宋体" w:hAnsi="Times New Roman" w:cs="Times New Roman"/>
                <w:sz w:val="21"/>
                <w:szCs w:val="21"/>
              </w:rPr>
              <w:t>GB 16157- 1996</w:t>
            </w:r>
          </w:p>
          <w:p>
            <w:pPr>
              <w:spacing w:line="276" w:lineRule="auto"/>
              <w:jc w:val="center"/>
              <w:rPr>
                <w:rFonts w:hint="default" w:ascii="宋体" w:hAnsi="Times New Roman" w:eastAsia="宋体" w:cs="Times New Roman"/>
                <w:kern w:val="2"/>
                <w:sz w:val="21"/>
                <w:szCs w:val="21"/>
                <w:lang w:val="en-US" w:eastAsia="zh-CN" w:bidi="ar-SA"/>
              </w:rPr>
            </w:pPr>
            <w:r>
              <w:rPr>
                <w:rFonts w:hint="eastAsia" w:ascii="宋体" w:hAnsi="Times New Roman" w:cs="Times New Roman"/>
                <w:sz w:val="21"/>
                <w:szCs w:val="21"/>
              </w:rPr>
              <w:t>HJ1262-2022</w:t>
            </w:r>
          </w:p>
        </w:tc>
        <w:tc>
          <w:tcPr>
            <w:tcW w:w="2961" w:type="dxa"/>
            <w:noWrap w:val="0"/>
            <w:vAlign w:val="center"/>
          </w:tcPr>
          <w:p>
            <w:pPr>
              <w:spacing w:line="276" w:lineRule="auto"/>
              <w:jc w:val="center"/>
              <w:rPr>
                <w:rFonts w:hint="default" w:ascii="宋体" w:hAnsi="Times New Roman" w:eastAsia="宋体" w:cs="Times New Roman"/>
                <w:kern w:val="2"/>
                <w:sz w:val="21"/>
                <w:szCs w:val="21"/>
                <w:lang w:val="en-US" w:eastAsia="zh-CN" w:bidi="ar-SA"/>
              </w:rPr>
            </w:pPr>
            <w:r>
              <w:rPr>
                <w:rFonts w:hint="eastAsia" w:ascii="宋体" w:hAnsi="Times New Roman" w:cs="Times New Roman"/>
                <w:sz w:val="21"/>
                <w:szCs w:val="21"/>
              </w:rPr>
              <w:t>臭气样品采集后应避光保存，并在24h内进行测定。样品保存与运输执行 HJ 905 中有关规定。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氨（氨气）</w:t>
            </w:r>
          </w:p>
        </w:tc>
        <w:tc>
          <w:tcPr>
            <w:tcW w:w="3005" w:type="dxa"/>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《环境空气和废气 氨的测定 纳氏试剂分光光度》HJ-533-2009</w:t>
            </w:r>
          </w:p>
        </w:tc>
        <w:tc>
          <w:tcPr>
            <w:tcW w:w="156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排放标准/排污许可证</w:t>
            </w: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0.01mg/m³</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紫外可见分光光度计gilent8453</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HJ/T55</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HJ533-2009</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样品冷藏保存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Style w:val="11"/>
                <w:rFonts w:hint="default" w:ascii="Times New Roman" w:hAnsi="Times New Roman" w:eastAsia="宋体" w:cs="Times New Roman"/>
                <w:color w:val="auto"/>
                <w:kern w:val="2"/>
                <w:sz w:val="21"/>
                <w:szCs w:val="21"/>
                <w:highlight w:val="none"/>
                <w:lang w:val="en-US" w:eastAsia="zh-CN" w:bidi="ar-SA"/>
              </w:rPr>
              <w:t>氯</w:t>
            </w:r>
          </w:p>
        </w:tc>
        <w:tc>
          <w:tcPr>
            <w:tcW w:w="3005" w:type="dxa"/>
            <w:noWrap w:val="0"/>
            <w:tcMar>
              <w:top w:w="0" w:type="dxa"/>
              <w:left w:w="57" w:type="dxa"/>
              <w:bottom w:w="0" w:type="dxa"/>
              <w:right w:w="57" w:type="dxa"/>
            </w:tcMar>
            <w:vAlign w:val="center"/>
          </w:tcPr>
          <w:p>
            <w:pPr>
              <w:keepNext w:val="0"/>
              <w:keepLines w:val="0"/>
              <w:widowControl/>
              <w:suppressLineNumbers w:val="0"/>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 xml:space="preserve">《空气和废气监测分析方法》 (第四版增补版）国家环境保护总局 2003年 甲基橙分光光度法（B） </w:t>
            </w:r>
          </w:p>
        </w:tc>
        <w:tc>
          <w:tcPr>
            <w:tcW w:w="1565"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排放标准/排污许可证</w:t>
            </w:r>
          </w:p>
        </w:tc>
        <w:tc>
          <w:tcPr>
            <w:tcW w:w="1117"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0.03</w:t>
            </w:r>
            <w:r>
              <w:rPr>
                <w:rFonts w:hint="default" w:ascii="Times New Roman" w:hAnsi="Times New Roman" w:eastAsia="宋体" w:cs="Times New Roman"/>
                <w:color w:val="auto"/>
                <w:sz w:val="21"/>
                <w:szCs w:val="21"/>
              </w:rPr>
              <w:t>mg/m³</w:t>
            </w:r>
          </w:p>
        </w:tc>
        <w:tc>
          <w:tcPr>
            <w:tcW w:w="1550"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分光光度计</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HJ/T55</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HJ533-2009</w:t>
            </w:r>
          </w:p>
        </w:tc>
        <w:tc>
          <w:tcPr>
            <w:tcW w:w="2961"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常温放置暗处保存.15d 内测定.</w:t>
            </w:r>
          </w:p>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硫化氢</w:t>
            </w:r>
          </w:p>
        </w:tc>
        <w:tc>
          <w:tcPr>
            <w:tcW w:w="3005" w:type="dxa"/>
            <w:noWrap w:val="0"/>
            <w:tcMar>
              <w:top w:w="0" w:type="dxa"/>
              <w:left w:w="57" w:type="dxa"/>
              <w:bottom w:w="0" w:type="dxa"/>
              <w:right w:w="57" w:type="dxa"/>
            </w:tcMar>
            <w:vAlign w:val="center"/>
          </w:tcPr>
          <w:p>
            <w:pPr>
              <w:keepNext w:val="0"/>
              <w:keepLines w:val="0"/>
              <w:widowControl/>
              <w:suppressLineNumbers w:val="0"/>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《空气和废气监测分析方法》 (第四版增补版）国家环境保 护总局 2003 年 亚甲基蓝分 光光度法（B） 3.1.11（2）</w:t>
            </w:r>
          </w:p>
        </w:tc>
        <w:tc>
          <w:tcPr>
            <w:tcW w:w="156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排放标准/排污许可证</w:t>
            </w:r>
          </w:p>
        </w:tc>
        <w:tc>
          <w:tcPr>
            <w:tcW w:w="1117" w:type="dxa"/>
            <w:noWrap w:val="0"/>
            <w:vAlign w:val="center"/>
          </w:tcPr>
          <w:p>
            <w:pPr>
              <w:keepNext w:val="0"/>
              <w:keepLines w:val="0"/>
              <w:widowControl/>
              <w:suppressLineNumbers w:val="0"/>
              <w:spacing w:line="240" w:lineRule="auto"/>
              <w:ind w:left="633" w:hanging="630" w:hangingChars="3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0.001mg/</w:t>
            </w:r>
            <w:r>
              <w:rPr>
                <w:rFonts w:hint="eastAsia" w:ascii="Times New Roman" w:hAnsi="Times New Roman" w:eastAsia="宋体" w:cs="Times New Roman"/>
                <w:color w:val="auto"/>
                <w:kern w:val="0"/>
                <w:sz w:val="21"/>
                <w:szCs w:val="21"/>
                <w:lang w:val="en-US" w:eastAsia="zh-CN" w:bidi="ar"/>
              </w:rPr>
              <w:t>m³</w:t>
            </w:r>
            <w:r>
              <w:rPr>
                <w:rFonts w:hint="default" w:ascii="Times New Roman" w:hAnsi="Times New Roman" w:eastAsia="宋体" w:cs="Times New Roman"/>
                <w:color w:val="auto"/>
                <w:kern w:val="0"/>
                <w:sz w:val="21"/>
                <w:szCs w:val="21"/>
                <w:lang w:val="en-US" w:eastAsia="zh-CN" w:bidi="ar"/>
              </w:rPr>
              <w:t xml:space="preserve"> </w:t>
            </w:r>
          </w:p>
        </w:tc>
        <w:tc>
          <w:tcPr>
            <w:tcW w:w="1550"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紫外可见分光光度计Agilent 8453 </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HJ/T55</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HJ533-2009</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样品冷藏保存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0" w:type="dxa"/>
            <w:vMerge w:val="restart"/>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总汞</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汞、砷、硒、铋和锑的测定 原子荧光法》HJ 694-2014</w:t>
            </w:r>
          </w:p>
        </w:tc>
        <w:tc>
          <w:tcPr>
            <w:tcW w:w="1565" w:type="dxa"/>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排放标准/排污许可证</w:t>
            </w: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0.04μg/L</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原子荧光光谱仪</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-2019</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694-2014</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总镉</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 xml:space="preserve">《水质 32种元素的测定 电感耦合等离子体发射光谱法》 HJ 776-2015 </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0.05mg/L</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电感耦合等离子体发射光谱仪</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 xml:space="preserve">-2019 </w:t>
            </w:r>
          </w:p>
          <w:p>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HJ 776-2015</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样品采集后加入硝酸溶液，冷藏保存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总铬</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 xml:space="preserve">《水质 32种元素的测定 电感耦合等离子体发射光谱法》 HJ 776-2015 </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0.03mg/L</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电感耦合等离子体发射光谱仪</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-2019</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776-2015</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样品采集后加入硝酸溶液，冷藏保存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六价铬</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六价铬的测定 二苯碳酰二肼分光光度法GB 7467-87</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0.004mg/L</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紫外可见分光光度计 </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Agilent 8453 </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-2019</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 7467-87</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样品采集后加入氢氧化钠，冷藏保存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总砷</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 xml:space="preserve">《水质 32种元素的测定 电感耦合等离子体发射光谱法》 HJ 776-2015 </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0.2mg/L</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电感耦合等离子体发射光谱仪</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-2019</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776-2015</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样品采集后加入硝酸溶液，冷藏保存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总铅</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 xml:space="preserve">《水质 32种元素的测定 电感耦合等离子体发射光谱法》 HJ 776-2015 </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0.1mg/L</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电感耦合等离子体发射光谱仪</w:t>
            </w:r>
          </w:p>
        </w:tc>
        <w:tc>
          <w:tcPr>
            <w:tcW w:w="180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-2019</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HJ 776-2015 </w:t>
            </w:r>
          </w:p>
        </w:tc>
        <w:tc>
          <w:tcPr>
            <w:tcW w:w="2961" w:type="dxa"/>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样品采集后加入硝酸溶液，冷藏保存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pH值</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水质 pH 值的测定 电极法（HJ 1147-2020）</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0.01pH</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便携式pH计</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HJ/T91.1(手工监测)</w:t>
            </w:r>
          </w:p>
          <w:p>
            <w:pPr>
              <w:widowControl/>
              <w:spacing w:before="15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1147-2020</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最好现场测定。否则，应在采样后把样品保持在0～4℃，并在采样后6h之内进行测定。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色度</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50" w:type="dxa"/>
            <w:noWrap w:val="0"/>
            <w:vAlign w:val="center"/>
          </w:tcPr>
          <w:p>
            <w:pPr>
              <w:widowControl/>
              <w:spacing w:before="15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09" w:type="dxa"/>
            <w:noWrap w:val="0"/>
            <w:vAlign w:val="center"/>
          </w:tcPr>
          <w:p>
            <w:pPr>
              <w:widowControl/>
              <w:spacing w:before="15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悬浮物</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悬浮物的测定 重量法 GB 11901-1989</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4mg/L</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万分之一天平</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-2019</w:t>
            </w:r>
          </w:p>
          <w:p>
            <w:pPr>
              <w:widowControl/>
              <w:spacing w:before="15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 11901-1989</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采集于玻璃瓶中，低温保存，5天内测定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五日生化需氧量</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五日生化需氧量（BOD5）的测定 稀释与接种法 HJ505-2009</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0.5mg/L</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培养箱</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HJ/T91.1</w:t>
            </w:r>
          </w:p>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HJ505-2019</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采样样品应充满并密封于棕色玻璃瓶中，在0℃~4℃的暗处运输和保存，并于24h内尽快分析。24h年内没不能分析，可冷冻保存（冷冻保存是避免样品瓶破裂），冷冻样品分析前需解冻，均值化和接种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化学需氧量</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化学需氧量的测定 快速消解分光光度法 HJ/T 399-2007</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4mg/L</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滴定管</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HJ/T91.1</w:t>
            </w:r>
            <w:r>
              <w:rPr>
                <w:rFonts w:hint="default" w:ascii="Times New Roman" w:hAnsi="Times New Roman" w:eastAsia="宋体" w:cs="Times New Roman"/>
                <w:color w:val="auto"/>
                <w:sz w:val="21"/>
                <w:szCs w:val="21"/>
                <w:lang w:val="en-US" w:eastAsia="zh-CN"/>
              </w:rPr>
              <w:t>-2019</w:t>
            </w:r>
          </w:p>
          <w:p>
            <w:pPr>
              <w:widowControl/>
              <w:spacing w:before="150" w:line="240" w:lineRule="auto"/>
              <w:jc w:val="center"/>
              <w:rPr>
                <w:rFonts w:hint="default" w:ascii="Times New Roman" w:hAnsi="Times New Roman" w:eastAsia="宋体" w:cs="Times New Roman"/>
                <w:color w:val="auto"/>
                <w:sz w:val="21"/>
                <w:szCs w:val="21"/>
                <w:lang w:val="en-US" w:eastAsia="zh-CN"/>
              </w:rPr>
            </w:pPr>
            <w:r>
              <w:rPr>
                <w:rStyle w:val="11"/>
                <w:rFonts w:hint="default" w:ascii="Times New Roman" w:hAnsi="Times New Roman" w:eastAsia="宋体" w:cs="Times New Roman"/>
                <w:color w:val="auto"/>
                <w:kern w:val="2"/>
                <w:sz w:val="21"/>
                <w:szCs w:val="21"/>
                <w:lang w:val="en-US" w:eastAsia="zh-CN" w:bidi="ar-SA"/>
              </w:rPr>
              <w:t>HJ/T 399-2007</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采集于玻璃瓶中，加H2SO4，pH≤1，低温保存，5天内测定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阴离子表面活性剂</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阴离子表面活性剂的测定 亚甲蓝分光光度法》GB/T 7494-1987</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5mg/L</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紫外可见分光光度计 </w:t>
            </w:r>
          </w:p>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Agilent 8453 </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HJ/T91.1</w:t>
            </w:r>
          </w:p>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GB7494-87</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短期保存建议冷藏在4℃冰箱中，如果样品需保存超过24h，应采取保护措施。保存期为4天。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氨氮（NH3-N）</w:t>
            </w:r>
          </w:p>
        </w:tc>
        <w:tc>
          <w:tcPr>
            <w:tcW w:w="3005" w:type="dxa"/>
            <w:noWrap w:val="0"/>
            <w:tcMar>
              <w:top w:w="0" w:type="dxa"/>
              <w:left w:w="57" w:type="dxa"/>
              <w:bottom w:w="0" w:type="dxa"/>
              <w:right w:w="57" w:type="dxa"/>
            </w:tcMar>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50" w:type="dxa"/>
            <w:noWrap w:val="0"/>
            <w:vAlign w:val="center"/>
          </w:tcPr>
          <w:p>
            <w:pPr>
              <w:widowControl/>
              <w:spacing w:before="15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09" w:type="dxa"/>
            <w:noWrap w:val="0"/>
            <w:vAlign w:val="center"/>
          </w:tcPr>
          <w:p>
            <w:pPr>
              <w:widowControl/>
              <w:spacing w:before="15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961" w:type="dxa"/>
            <w:noWrap w:val="0"/>
            <w:vAlign w:val="center"/>
          </w:tcPr>
          <w:p>
            <w:pPr>
              <w:widowControl/>
              <w:spacing w:before="15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石油类</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石油类和动植物油类的测定 红外分光光度法（HJ637-2018）</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0.06mg/L</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红外分光光度计</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HJ/T91.1</w:t>
            </w:r>
          </w:p>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HJ637-2018</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采样后假如盐酸溶液酸化至pH ＜2，如样品不能再24小时内测定，应在0℃~4℃冷藏保存，3d内测定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动植物油</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石油类和动植物油类的测定 红外分光光度法（HJ637-2018）</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0.06mg/L</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红外分光光度计</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HJ/T91.1</w:t>
            </w:r>
          </w:p>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HJ637-2018</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采样后假如盐酸溶液酸化至pH ＜2，如样品不能再24小时内测定，应在0℃~4℃冷藏保存，3d内测定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挥发酚</w:t>
            </w:r>
          </w:p>
        </w:tc>
        <w:tc>
          <w:tcPr>
            <w:tcW w:w="3005" w:type="dxa"/>
            <w:noWrap w:val="0"/>
            <w:tcMar>
              <w:top w:w="0" w:type="dxa"/>
              <w:left w:w="57" w:type="dxa"/>
              <w:bottom w:w="0" w:type="dxa"/>
              <w:right w:w="57" w:type="dxa"/>
            </w:tcMar>
            <w:vAlign w:val="center"/>
          </w:tcPr>
          <w:p>
            <w:pPr>
              <w:keepNext w:val="0"/>
              <w:keepLines w:val="0"/>
              <w:widowControl/>
              <w:suppressLineNumbers w:val="0"/>
              <w:spacing w:line="24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《水质 挥发酚的测定 4-氨 </w:t>
            </w:r>
          </w:p>
          <w:p>
            <w:pPr>
              <w:keepNext w:val="0"/>
              <w:keepLines w:val="0"/>
              <w:widowControl/>
              <w:suppressLineNumbers w:val="0"/>
              <w:spacing w:line="24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基安替比林分光光度法》HJ 503-2009</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0.01mg/L </w:t>
            </w:r>
          </w:p>
        </w:tc>
        <w:tc>
          <w:tcPr>
            <w:tcW w:w="1550"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 分光光度计 </w:t>
            </w:r>
          </w:p>
        </w:tc>
        <w:tc>
          <w:tcPr>
            <w:tcW w:w="1809"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HJ/T91.1</w:t>
            </w:r>
          </w:p>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HJ 503-2009</w:t>
            </w:r>
          </w:p>
        </w:tc>
        <w:tc>
          <w:tcPr>
            <w:tcW w:w="2961"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低温避光</w:t>
            </w:r>
          </w:p>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流量</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流量计</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0"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流量计</w:t>
            </w:r>
          </w:p>
        </w:tc>
        <w:tc>
          <w:tcPr>
            <w:tcW w:w="1809"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HJ/T91.1</w:t>
            </w:r>
          </w:p>
        </w:tc>
        <w:tc>
          <w:tcPr>
            <w:tcW w:w="2961" w:type="dxa"/>
            <w:noWrap w:val="0"/>
            <w:vAlign w:val="center"/>
          </w:tcPr>
          <w:p>
            <w:pPr>
              <w:widowControl/>
              <w:spacing w:before="15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总氰化物</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水质 氰化物的测定 容量法和分光光度法（HJ 484—2009 ）</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0.004mg/L</w:t>
            </w:r>
          </w:p>
        </w:tc>
        <w:tc>
          <w:tcPr>
            <w:tcW w:w="15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Style w:val="11"/>
                <w:rFonts w:hint="default" w:ascii="Times New Roman" w:hAnsi="Times New Roman" w:eastAsia="宋体" w:cs="Times New Roman"/>
                <w:color w:val="auto"/>
                <w:kern w:val="2"/>
                <w:sz w:val="21"/>
                <w:szCs w:val="21"/>
                <w:lang w:val="en-US" w:eastAsia="zh-CN" w:bidi="ar-SA"/>
              </w:rPr>
              <w:t>分光光度计</w:t>
            </w:r>
          </w:p>
        </w:tc>
        <w:tc>
          <w:tcPr>
            <w:tcW w:w="1809"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HJ/T91.1</w:t>
            </w:r>
          </w:p>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HJ 484-2009</w:t>
            </w:r>
          </w:p>
        </w:tc>
        <w:tc>
          <w:tcPr>
            <w:tcW w:w="2961" w:type="dxa"/>
            <w:noWrap w:val="0"/>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加氢氧化钠 PH＞12,4℃下冷藏保存</w:t>
            </w:r>
          </w:p>
          <w:p>
            <w:pPr>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vMerge w:val="restart"/>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总余氯（以Cl计）</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 w:val="21"/>
                <w:szCs w:val="21"/>
                <w:lang w:val="en-US" w:eastAsia="zh-CN" w:bidi="ar"/>
              </w:rPr>
              <w:t>/</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1550" w:type="dxa"/>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1809" w:type="dxa"/>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2961" w:type="dxa"/>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60" w:type="dxa"/>
            <w:vMerge w:val="continue"/>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p>
        </w:tc>
        <w:tc>
          <w:tcPr>
            <w:tcW w:w="1027" w:type="dxa"/>
            <w:vMerge w:val="continue"/>
            <w:noWrap w:val="0"/>
            <w:tcMar>
              <w:top w:w="0" w:type="dxa"/>
              <w:left w:w="57" w:type="dxa"/>
              <w:bottom w:w="0" w:type="dxa"/>
              <w:right w:w="57" w:type="dxa"/>
            </w:tcMar>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 w:val="21"/>
                <w:szCs w:val="21"/>
                <w:lang w:val="en-US" w:eastAsia="zh-CN" w:bidi="ar"/>
              </w:rPr>
              <w:t>/</w:t>
            </w:r>
          </w:p>
        </w:tc>
        <w:tc>
          <w:tcPr>
            <w:tcW w:w="1565" w:type="dxa"/>
            <w:vMerge w:val="continue"/>
            <w:noWrap w:val="0"/>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p>
        </w:tc>
        <w:tc>
          <w:tcPr>
            <w:tcW w:w="1117" w:type="dxa"/>
            <w:vMerge w:val="continue"/>
            <w:noWrap w:val="0"/>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p>
        </w:tc>
        <w:tc>
          <w:tcPr>
            <w:tcW w:w="1550" w:type="dxa"/>
            <w:vMerge w:val="continue"/>
            <w:noWrap w:val="0"/>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p>
        </w:tc>
        <w:tc>
          <w:tcPr>
            <w:tcW w:w="1809" w:type="dxa"/>
            <w:vMerge w:val="continue"/>
            <w:noWrap w:val="0"/>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p>
        </w:tc>
        <w:tc>
          <w:tcPr>
            <w:tcW w:w="2961" w:type="dxa"/>
            <w:vMerge w:val="continue"/>
            <w:noWrap w:val="0"/>
            <w:vAlign w:val="center"/>
          </w:tcPr>
          <w:p>
            <w:pPr>
              <w:pStyle w:val="18"/>
              <w:widowControl w:val="0"/>
              <w:adjustRightInd w:val="0"/>
              <w:snapToGrid w:val="0"/>
              <w:spacing w:line="240" w:lineRule="auto"/>
              <w:jc w:val="center"/>
              <w:rPr>
                <w:rStyle w:val="11"/>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粪大肠菌群数/（MPN/L）</w:t>
            </w:r>
          </w:p>
        </w:tc>
        <w:tc>
          <w:tcPr>
            <w:tcW w:w="3005" w:type="dxa"/>
            <w:noWrap w:val="0"/>
            <w:tcMar>
              <w:top w:w="0" w:type="dxa"/>
              <w:left w:w="57" w:type="dxa"/>
              <w:bottom w:w="0" w:type="dxa"/>
              <w:right w:w="57" w:type="dxa"/>
            </w:tcMar>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《水质 粪大肠菌群的测定 </w:t>
            </w:r>
          </w:p>
          <w:p>
            <w:pPr>
              <w:keepNext w:val="0"/>
              <w:keepLines w:val="0"/>
              <w:widowControl/>
              <w:suppressLineNumbers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多管发酵法和滤膜法（试 </w:t>
            </w:r>
          </w:p>
          <w:p>
            <w:pPr>
              <w:keepNext w:val="0"/>
              <w:keepLines w:val="0"/>
              <w:widowControl/>
              <w:suppressLineNumbers w:val="0"/>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行）》HJ/T 347.2-2018</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20MPN/L</w:t>
            </w:r>
          </w:p>
        </w:tc>
        <w:tc>
          <w:tcPr>
            <w:tcW w:w="1550"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试管</w:t>
            </w:r>
          </w:p>
        </w:tc>
        <w:tc>
          <w:tcPr>
            <w:tcW w:w="1809"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HJ/T91.1</w:t>
            </w:r>
          </w:p>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HJ/T 347.2-2018</w:t>
            </w:r>
          </w:p>
        </w:tc>
        <w:tc>
          <w:tcPr>
            <w:tcW w:w="2961"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肠道致病菌</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c>
          <w:tcPr>
            <w:tcW w:w="1550"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c>
          <w:tcPr>
            <w:tcW w:w="1809"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c>
          <w:tcPr>
            <w:tcW w:w="2961"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560" w:type="dxa"/>
            <w:vMerge w:val="continue"/>
            <w:noWrap w:val="0"/>
            <w:tcMar>
              <w:top w:w="0" w:type="dxa"/>
              <w:left w:w="57" w:type="dxa"/>
              <w:bottom w:w="0" w:type="dxa"/>
              <w:right w:w="57" w:type="dxa"/>
            </w:tcMar>
            <w:vAlign w:val="center"/>
          </w:tcPr>
          <w:p>
            <w:pPr>
              <w:spacing w:before="100" w:beforeAutospacing="1" w:after="100" w:afterAutospacing="1" w:line="240" w:lineRule="auto"/>
              <w:jc w:val="center"/>
              <w:rPr>
                <w:rFonts w:hint="default" w:ascii="Times New Roman" w:hAnsi="Times New Roman" w:eastAsia="宋体" w:cs="Times New Roman"/>
                <w:color w:val="auto"/>
                <w:sz w:val="21"/>
                <w:szCs w:val="21"/>
              </w:rPr>
            </w:pPr>
          </w:p>
        </w:tc>
        <w:tc>
          <w:tcPr>
            <w:tcW w:w="1027"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肠道病毒</w:t>
            </w:r>
          </w:p>
        </w:tc>
        <w:tc>
          <w:tcPr>
            <w:tcW w:w="3005" w:type="dxa"/>
            <w:noWrap w:val="0"/>
            <w:tcMar>
              <w:top w:w="0" w:type="dxa"/>
              <w:left w:w="57" w:type="dxa"/>
              <w:bottom w:w="0" w:type="dxa"/>
              <w:right w:w="57" w:type="dxa"/>
            </w:tcMar>
            <w:vAlign w:val="center"/>
          </w:tcPr>
          <w:p>
            <w:pPr>
              <w:pStyle w:val="18"/>
              <w:widowControl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11"/>
                <w:rFonts w:hint="default" w:ascii="Times New Roman" w:hAnsi="Times New Roman" w:eastAsia="宋体" w:cs="Times New Roman"/>
                <w:color w:val="auto"/>
                <w:kern w:val="2"/>
                <w:sz w:val="21"/>
                <w:szCs w:val="21"/>
                <w:lang w:val="en-US" w:eastAsia="zh-CN" w:bidi="ar-SA"/>
              </w:rPr>
              <w:t>/</w:t>
            </w:r>
          </w:p>
        </w:tc>
        <w:tc>
          <w:tcPr>
            <w:tcW w:w="1565"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117"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c>
          <w:tcPr>
            <w:tcW w:w="1550"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c>
          <w:tcPr>
            <w:tcW w:w="1809"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c>
          <w:tcPr>
            <w:tcW w:w="2961" w:type="dxa"/>
            <w:noWrap w:val="0"/>
            <w:vAlign w:val="center"/>
          </w:tcPr>
          <w:p>
            <w:pPr>
              <w:pStyle w:val="18"/>
              <w:widowControl w:val="0"/>
              <w:adjustRightInd w:val="0"/>
              <w:snapToGrid w:val="0"/>
              <w:spacing w:line="240" w:lineRule="auto"/>
              <w:jc w:val="center"/>
              <w:rPr>
                <w:rFonts w:hint="default" w:ascii="Times New Roman" w:hAnsi="Times New Roman" w:eastAsia="宋体" w:cs="Times New Roman"/>
                <w:color w:val="auto"/>
                <w:sz w:val="21"/>
                <w:szCs w:val="21"/>
              </w:rPr>
            </w:pPr>
            <w:r>
              <w:rPr>
                <w:rStyle w:val="11"/>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60" w:type="dxa"/>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027" w:type="dxa"/>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3005" w:type="dxa"/>
            <w:noWrap w:val="0"/>
            <w:tcMar>
              <w:top w:w="0" w:type="dxa"/>
              <w:left w:w="57" w:type="dxa"/>
              <w:bottom w:w="0" w:type="dxa"/>
              <w:right w:w="57" w:type="dxa"/>
            </w:tcMar>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p>
        </w:tc>
        <w:tc>
          <w:tcPr>
            <w:tcW w:w="1565"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12348-2008</w:t>
            </w:r>
          </w:p>
        </w:tc>
        <w:tc>
          <w:tcPr>
            <w:tcW w:w="1117"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25-125</w:t>
            </w:r>
            <w:r>
              <w:rPr>
                <w:rFonts w:hint="default" w:ascii="Times New Roman" w:hAnsi="Times New Roman" w:eastAsia="宋体" w:cs="Times New Roman"/>
                <w:color w:val="auto"/>
                <w:sz w:val="21"/>
                <w:szCs w:val="21"/>
              </w:rPr>
              <w:t>dB（A）</w:t>
            </w:r>
          </w:p>
        </w:tc>
        <w:tc>
          <w:tcPr>
            <w:tcW w:w="1550"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声级计</w:t>
            </w:r>
          </w:p>
        </w:tc>
        <w:tc>
          <w:tcPr>
            <w:tcW w:w="1809"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12348-2008</w:t>
            </w:r>
          </w:p>
        </w:tc>
        <w:tc>
          <w:tcPr>
            <w:tcW w:w="2961" w:type="dxa"/>
            <w:noWrap w:val="0"/>
            <w:vAlign w:val="center"/>
          </w:tcPr>
          <w:p>
            <w:pPr>
              <w:widowControl/>
              <w:spacing w:before="100" w:beforeAutospacing="1" w:after="100" w:afterAutospacing="1"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widowControl/>
        <w:shd w:val="clear" w:color="auto" w:fill="FFFFFF"/>
        <w:spacing w:before="217" w:beforeLines="50" w:line="360" w:lineRule="auto"/>
        <w:rPr>
          <w:rFonts w:hint="default" w:ascii="Times New Roman" w:hAnsi="Times New Roman" w:eastAsia="宋体" w:cs="Times New Roman"/>
          <w:b/>
          <w:bCs/>
          <w:color w:val="auto"/>
          <w:sz w:val="28"/>
          <w:szCs w:val="28"/>
        </w:rPr>
        <w:sectPr>
          <w:footerReference r:id="rId4" w:type="default"/>
          <w:pgSz w:w="16838" w:h="11906" w:orient="landscape"/>
          <w:pgMar w:top="1083" w:right="1440" w:bottom="1083" w:left="1440" w:header="851" w:footer="992" w:gutter="0"/>
          <w:cols w:space="720" w:num="1"/>
          <w:rtlGutter w:val="0"/>
          <w:docGrid w:type="lines" w:linePitch="314" w:charSpace="0"/>
        </w:sectPr>
      </w:pPr>
    </w:p>
    <w:p>
      <w:pPr>
        <w:widowControl/>
        <w:shd w:val="clear" w:color="auto" w:fill="FFFFFF"/>
        <w:spacing w:before="217" w:beforeLines="50" w:line="360" w:lineRule="auto"/>
        <w:outlineLvl w:val="1"/>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2.4监测质量保证与质量控制</w:t>
      </w:r>
    </w:p>
    <w:p>
      <w:pPr>
        <w:widowControl/>
        <w:shd w:val="clear" w:color="auto" w:fill="FFFFFF"/>
        <w:spacing w:before="217"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医院</w:t>
      </w:r>
      <w:r>
        <w:rPr>
          <w:rFonts w:hint="default" w:ascii="Times New Roman" w:hAnsi="Times New Roman" w:eastAsia="宋体" w:cs="Times New Roman"/>
          <w:color w:val="auto"/>
          <w:sz w:val="28"/>
          <w:szCs w:val="28"/>
        </w:rPr>
        <w:t>的自行监测委托有资质的检测机构代为开展，我</w:t>
      </w:r>
      <w:r>
        <w:rPr>
          <w:rFonts w:hint="default" w:ascii="Times New Roman" w:hAnsi="Times New Roman" w:eastAsia="宋体" w:cs="Times New Roman"/>
          <w:color w:val="auto"/>
          <w:sz w:val="28"/>
          <w:szCs w:val="28"/>
          <w:lang w:val="en-US" w:eastAsia="zh-CN"/>
        </w:rPr>
        <w:t>院</w:t>
      </w:r>
      <w:r>
        <w:rPr>
          <w:rFonts w:hint="default" w:ascii="Times New Roman" w:hAnsi="Times New Roman" w:eastAsia="宋体" w:cs="Times New Roman"/>
          <w:color w:val="auto"/>
          <w:sz w:val="28"/>
          <w:szCs w:val="28"/>
        </w:rPr>
        <w:t>负责对其资质进行确认。</w:t>
      </w:r>
    </w:p>
    <w:p>
      <w:pPr>
        <w:widowControl/>
        <w:shd w:val="clear" w:color="auto" w:fill="FFFFFF"/>
        <w:spacing w:before="217" w:beforeLines="50" w:line="360" w:lineRule="auto"/>
        <w:outlineLvl w:val="1"/>
        <w:rPr>
          <w:rFonts w:hint="eastAsia" w:ascii="宋体" w:hAnsi="宋体" w:cs="宋体"/>
          <w:b/>
          <w:bCs/>
          <w:sz w:val="28"/>
          <w:szCs w:val="28"/>
        </w:rPr>
      </w:pPr>
      <w:r>
        <w:rPr>
          <w:rFonts w:hint="eastAsia" w:ascii="宋体" w:hAnsi="宋体" w:cs="宋体"/>
          <w:b/>
          <w:bCs/>
          <w:sz w:val="28"/>
          <w:szCs w:val="28"/>
        </w:rPr>
        <w:t>2.5监测数据记录、整理、存档要求</w:t>
      </w:r>
    </w:p>
    <w:p>
      <w:pPr>
        <w:widowControl/>
        <w:numPr>
          <w:ilvl w:val="0"/>
          <w:numId w:val="1"/>
        </w:numPr>
        <w:shd w:val="clear" w:color="auto" w:fill="FFFFFF"/>
        <w:spacing w:before="217" w:beforeLines="50" w:line="360" w:lineRule="auto"/>
        <w:ind w:firstLine="560"/>
        <w:rPr>
          <w:rFonts w:ascii="宋体" w:hAnsi="宋体" w:cs="宋体"/>
          <w:sz w:val="28"/>
          <w:szCs w:val="28"/>
        </w:rPr>
      </w:pPr>
      <w:r>
        <w:rPr>
          <w:rFonts w:ascii="宋体" w:hAnsi="宋体" w:cs="宋体"/>
          <w:sz w:val="28"/>
          <w:szCs w:val="28"/>
        </w:rPr>
        <w:t>监测结果按照纸质储存和电子化储存两种形式同步管理，保存期限不少于五年。</w:t>
      </w:r>
    </w:p>
    <w:p>
      <w:pPr>
        <w:widowControl/>
        <w:numPr>
          <w:ilvl w:val="0"/>
          <w:numId w:val="1"/>
        </w:numPr>
        <w:shd w:val="clear" w:color="auto" w:fill="FFFFFF"/>
        <w:spacing w:before="217" w:beforeLines="50" w:line="360" w:lineRule="auto"/>
        <w:ind w:firstLine="560"/>
        <w:rPr>
          <w:rFonts w:ascii="宋体" w:hAnsi="宋体" w:cs="宋体"/>
          <w:sz w:val="28"/>
          <w:szCs w:val="28"/>
        </w:rPr>
      </w:pPr>
      <w:r>
        <w:rPr>
          <w:rFonts w:ascii="宋体" w:hAnsi="宋体" w:cs="宋体"/>
          <w:sz w:val="28"/>
          <w:szCs w:val="28"/>
        </w:rPr>
        <w:t>纸质报告存放于保护袋、卷夹或保护盒中，专人保存于专门的档案保存地点，并由相关人员签字。档案保存采取防光、防热、防潮、防细菌及防污染等措施。纸质类档案如有破损随时修补。</w:t>
      </w:r>
    </w:p>
    <w:p>
      <w:pPr>
        <w:widowControl/>
        <w:numPr>
          <w:ilvl w:val="0"/>
          <w:numId w:val="1"/>
        </w:numPr>
        <w:shd w:val="clear" w:color="auto" w:fill="FFFFFF"/>
        <w:spacing w:before="217" w:beforeLines="50" w:line="360" w:lineRule="auto"/>
        <w:ind w:firstLine="560"/>
        <w:rPr>
          <w:rFonts w:hint="eastAsia" w:ascii="宋体" w:hAnsi="宋体" w:cs="宋体"/>
          <w:sz w:val="28"/>
          <w:szCs w:val="28"/>
        </w:rPr>
      </w:pPr>
      <w:r>
        <w:rPr>
          <w:rFonts w:ascii="宋体" w:hAnsi="宋体" w:cs="宋体"/>
          <w:sz w:val="28"/>
          <w:szCs w:val="28"/>
        </w:rPr>
        <w:t>电子报告保存于专门存贮设备中，并保留备份数据。存贮设备由专人负责管理，定期进行维护。电子台账根据地方环境保护主管部门管理要求定期上传，纸质报告由单位留存备查。</w:t>
      </w:r>
    </w:p>
    <w:p>
      <w:pPr>
        <w:widowControl/>
        <w:shd w:val="clear" w:color="auto" w:fill="FFFFFF"/>
        <w:spacing w:before="217" w:beforeLines="50" w:line="360" w:lineRule="auto"/>
        <w:ind w:firstLine="560"/>
        <w:rPr>
          <w:rFonts w:hint="default" w:ascii="Times New Roman" w:hAnsi="Times New Roman" w:eastAsia="宋体" w:cs="Times New Roman"/>
          <w:color w:val="auto"/>
          <w:sz w:val="28"/>
          <w:szCs w:val="28"/>
        </w:rPr>
      </w:pPr>
    </w:p>
    <w:p>
      <w:pPr>
        <w:widowControl/>
        <w:shd w:val="clear" w:color="auto" w:fill="FFFFFF"/>
        <w:spacing w:before="217" w:beforeLines="50" w:after="100" w:afterAutospacing="1" w:line="360" w:lineRule="auto"/>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3、执行标准</w:t>
      </w:r>
    </w:p>
    <w:p>
      <w:pPr>
        <w:widowControl/>
        <w:shd w:val="clear" w:color="auto" w:fill="FFFFFF"/>
        <w:spacing w:before="217"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各污染因子排放标准限值见下表。</w:t>
      </w:r>
    </w:p>
    <w:p>
      <w:pPr>
        <w:widowControl/>
        <w:shd w:val="clear" w:color="auto" w:fill="FFFFFF"/>
        <w:spacing w:before="217" w:beforeLines="50" w:line="360" w:lineRule="auto"/>
        <w:ind w:firstLine="560"/>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表3各污染因子排放标准限值</w:t>
      </w:r>
    </w:p>
    <w:tbl>
      <w:tblPr>
        <w:tblStyle w:val="10"/>
        <w:tblW w:w="10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7"/>
        <w:gridCol w:w="2549"/>
        <w:gridCol w:w="1700"/>
        <w:gridCol w:w="2135"/>
        <w:gridCol w:w="1307"/>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atLeast"/>
          <w:jc w:val="center"/>
        </w:trPr>
        <w:tc>
          <w:tcPr>
            <w:tcW w:w="1517"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污染物类别</w:t>
            </w:r>
          </w:p>
        </w:tc>
        <w:tc>
          <w:tcPr>
            <w:tcW w:w="2549"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监测点位</w:t>
            </w:r>
          </w:p>
        </w:tc>
        <w:tc>
          <w:tcPr>
            <w:tcW w:w="1700"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污染因子</w:t>
            </w:r>
          </w:p>
        </w:tc>
        <w:tc>
          <w:tcPr>
            <w:tcW w:w="2135"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执行标准</w:t>
            </w:r>
          </w:p>
        </w:tc>
        <w:tc>
          <w:tcPr>
            <w:tcW w:w="1307"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标准限值</w:t>
            </w:r>
          </w:p>
        </w:tc>
        <w:tc>
          <w:tcPr>
            <w:tcW w:w="908" w:type="dxa"/>
            <w:shd w:val="clear" w:color="auto" w:fill="D9D9D9"/>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restart"/>
            <w:noWrap w:val="0"/>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w:t>
            </w:r>
          </w:p>
        </w:tc>
        <w:tc>
          <w:tcPr>
            <w:tcW w:w="2549"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燃天然气锅炉</w:t>
            </w:r>
            <w:r>
              <w:rPr>
                <w:rFonts w:hint="default" w:ascii="Times New Roman" w:hAnsi="Times New Roman" w:eastAsia="宋体" w:cs="Times New Roman"/>
                <w:color w:val="auto"/>
                <w:sz w:val="24"/>
                <w:szCs w:val="24"/>
              </w:rPr>
              <w:t>废气排气筒</w:t>
            </w:r>
          </w:p>
        </w:tc>
        <w:tc>
          <w:tcPr>
            <w:tcW w:w="1700"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林格曼黑度</w:t>
            </w:r>
          </w:p>
        </w:tc>
        <w:tc>
          <w:tcPr>
            <w:tcW w:w="2135"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0"/>
                <w:sz w:val="24"/>
                <w:szCs w:val="24"/>
                <w:lang w:val="en-US" w:eastAsia="zh-CN" w:bidi="ar-SA"/>
              </w:rPr>
              <w:t>锅炉大气污染物排放标准DB44/765-2019</w:t>
            </w:r>
          </w:p>
        </w:tc>
        <w:tc>
          <w:tcPr>
            <w:tcW w:w="1307"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1</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二氧化硫</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50</w:t>
            </w:r>
          </w:p>
        </w:tc>
        <w:tc>
          <w:tcPr>
            <w:tcW w:w="9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颗粒物</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20</w:t>
            </w:r>
          </w:p>
        </w:tc>
        <w:tc>
          <w:tcPr>
            <w:tcW w:w="9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氮氧化物</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7"/>
              <w:widowControl/>
              <w:autoSpaceDN w:val="0"/>
              <w:spacing w:line="240" w:lineRule="exact"/>
              <w:jc w:val="center"/>
              <w:rPr>
                <w:rFonts w:hint="default" w:ascii="Times New Roman" w:hAnsi="Times New Roman" w:eastAsia="宋体" w:cs="Times New Roman"/>
                <w:color w:val="auto"/>
                <w:kern w:val="0"/>
                <w:sz w:val="24"/>
                <w:szCs w:val="24"/>
                <w:lang w:val="en-US" w:eastAsia="zh-CN" w:bidi="ar-SA"/>
              </w:rPr>
            </w:pPr>
            <w:r>
              <w:rPr>
                <w:rStyle w:val="11"/>
                <w:rFonts w:hint="default" w:ascii="Times New Roman" w:hAnsi="Times New Roman" w:eastAsia="宋体" w:cs="Times New Roman"/>
                <w:color w:val="auto"/>
                <w:kern w:val="0"/>
                <w:sz w:val="24"/>
                <w:szCs w:val="24"/>
                <w:lang w:val="en-US" w:eastAsia="zh-CN" w:bidi="ar-SA"/>
              </w:rPr>
              <w:t>150</w:t>
            </w:r>
          </w:p>
        </w:tc>
        <w:tc>
          <w:tcPr>
            <w:tcW w:w="9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restart"/>
            <w:noWrap w:val="0"/>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无组织废气</w:t>
            </w:r>
          </w:p>
        </w:tc>
        <w:tc>
          <w:tcPr>
            <w:tcW w:w="2549"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污水站周界</w:t>
            </w:r>
          </w:p>
        </w:tc>
        <w:tc>
          <w:tcPr>
            <w:tcW w:w="170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甲烷</w:t>
            </w:r>
          </w:p>
        </w:tc>
        <w:tc>
          <w:tcPr>
            <w:tcW w:w="2135"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医疗机构水污染物排放标准GB 18466-2005</w:t>
            </w: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1</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臭气浓度</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氨（氨气）</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9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氯</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w:t>
            </w:r>
          </w:p>
        </w:tc>
        <w:tc>
          <w:tcPr>
            <w:tcW w:w="9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8"/>
              <w:widowControl w:val="0"/>
              <w:adjustRightInd w:val="0"/>
              <w:snapToGrid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硫化氢</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0.03</w:t>
            </w:r>
          </w:p>
        </w:tc>
        <w:tc>
          <w:tcPr>
            <w:tcW w:w="908"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517" w:type="dxa"/>
            <w:noWrap w:val="0"/>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无组织废气</w:t>
            </w:r>
          </w:p>
        </w:tc>
        <w:tc>
          <w:tcPr>
            <w:tcW w:w="2549" w:type="dxa"/>
            <w:noWrap w:val="0"/>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厂界</w:t>
            </w:r>
          </w:p>
        </w:tc>
        <w:tc>
          <w:tcPr>
            <w:tcW w:w="1700" w:type="dxa"/>
            <w:noWrap w:val="0"/>
            <w:tcMar>
              <w:top w:w="0" w:type="dxa"/>
              <w:left w:w="108" w:type="dxa"/>
              <w:bottom w:w="0" w:type="dxa"/>
              <w:right w:w="108" w:type="dxa"/>
            </w:tcMar>
            <w:vAlign w:val="center"/>
          </w:tcPr>
          <w:p>
            <w:pPr>
              <w:pStyle w:val="18"/>
              <w:widowControl w:val="0"/>
              <w:adjustRightInd w:val="0"/>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臭气浓度</w:t>
            </w:r>
          </w:p>
        </w:tc>
        <w:tc>
          <w:tcPr>
            <w:tcW w:w="2135"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恶臭污染物排放标准GB 14554-93</w:t>
            </w: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restart"/>
            <w:noWrap w:val="0"/>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w:t>
            </w:r>
          </w:p>
        </w:tc>
        <w:tc>
          <w:tcPr>
            <w:tcW w:w="2549"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车间或生产设施排放口</w:t>
            </w:r>
            <w:r>
              <w:rPr>
                <w:rFonts w:hint="default" w:ascii="Times New Roman" w:hAnsi="Times New Roman" w:eastAsia="宋体" w:cs="Times New Roman"/>
                <w:color w:val="auto"/>
                <w:sz w:val="24"/>
                <w:szCs w:val="24"/>
                <w:lang w:val="en-US" w:eastAsia="zh-CN"/>
              </w:rPr>
              <w:t>DW00</w:t>
            </w:r>
            <w:r>
              <w:rPr>
                <w:rFonts w:hint="eastAsia" w:ascii="Times New Roman" w:hAnsi="Times New Roman" w:eastAsia="宋体" w:cs="Times New Roman"/>
                <w:color w:val="auto"/>
                <w:sz w:val="24"/>
                <w:szCs w:val="24"/>
                <w:lang w:val="en-US" w:eastAsia="zh-CN"/>
              </w:rPr>
              <w:t>2</w:t>
            </w: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总铬</w:t>
            </w:r>
          </w:p>
        </w:tc>
        <w:tc>
          <w:tcPr>
            <w:tcW w:w="2135"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医疗机构水污染物排放标准GB 18466-2005</w:t>
            </w: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总汞</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0.05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总铅</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总砷</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0.5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六价铬</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0.5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总镉</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0.1</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restart"/>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污水排放口DW001</w:t>
            </w: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总余氯（以Cl计）</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悬浮物</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60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氨氮（NH3-N）</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色度</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阴离子表面活性剂</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肠道致病菌</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肠道病毒</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总氰化物</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0.5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pH值</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6-9</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五日生化需氧量</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100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化学需氧量</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250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粪大肠菌群数/（MPN/L）</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5000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石油类</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20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动植物油</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20</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700"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挥发酚</w:t>
            </w:r>
          </w:p>
        </w:tc>
        <w:tc>
          <w:tcPr>
            <w:tcW w:w="2135" w:type="dxa"/>
            <w:vMerge w:val="continue"/>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p>
        </w:tc>
        <w:tc>
          <w:tcPr>
            <w:tcW w:w="1307" w:type="dxa"/>
            <w:noWrap w:val="0"/>
            <w:tcMar>
              <w:top w:w="0" w:type="dxa"/>
              <w:left w:w="108" w:type="dxa"/>
              <w:bottom w:w="0" w:type="dxa"/>
              <w:right w:w="108" w:type="dxa"/>
            </w:tcMar>
            <w:vAlign w:val="center"/>
          </w:tcPr>
          <w:p>
            <w:pPr>
              <w:pStyle w:val="15"/>
              <w:widowControl w:val="0"/>
              <w:jc w:val="center"/>
              <w:rPr>
                <w:rFonts w:hint="default" w:ascii="Times New Roman" w:hAnsi="Times New Roman" w:eastAsia="宋体" w:cs="Times New Roman"/>
                <w:color w:val="auto"/>
                <w:kern w:val="2"/>
                <w:sz w:val="24"/>
                <w:szCs w:val="24"/>
                <w:lang w:val="en-US" w:eastAsia="zh-CN" w:bidi="ar-SA"/>
              </w:rPr>
            </w:pPr>
            <w:r>
              <w:rPr>
                <w:rStyle w:val="11"/>
                <w:rFonts w:hint="default" w:ascii="Times New Roman" w:hAnsi="Times New Roman" w:eastAsia="宋体" w:cs="Times New Roman"/>
                <w:color w:val="auto"/>
                <w:kern w:val="2"/>
                <w:sz w:val="24"/>
                <w:szCs w:val="24"/>
                <w:lang w:val="en-US" w:eastAsia="zh-CN" w:bidi="ar-SA"/>
              </w:rPr>
              <w:t>1</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Style w:val="11"/>
                <w:rFonts w:hint="default"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noWrap w:val="0"/>
            <w:vAlign w:val="center"/>
          </w:tcPr>
          <w:p>
            <w:pPr>
              <w:widowControl/>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废水</w:t>
            </w:r>
          </w:p>
        </w:tc>
        <w:tc>
          <w:tcPr>
            <w:tcW w:w="254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接触池出口DW006</w:t>
            </w:r>
          </w:p>
        </w:tc>
        <w:tc>
          <w:tcPr>
            <w:tcW w:w="1700" w:type="dxa"/>
            <w:noWrap w:val="0"/>
            <w:tcMar>
              <w:top w:w="0" w:type="dxa"/>
              <w:left w:w="108" w:type="dxa"/>
              <w:bottom w:w="0" w:type="dxa"/>
              <w:right w:w="108" w:type="dxa"/>
            </w:tcMar>
            <w:vAlign w:val="center"/>
          </w:tcPr>
          <w:p>
            <w:pPr>
              <w:pStyle w:val="15"/>
              <w:widowControl w:val="0"/>
              <w:jc w:val="center"/>
              <w:rPr>
                <w:rStyle w:val="11"/>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cs="Times New Roman"/>
                <w:color w:val="auto"/>
                <w:kern w:val="2"/>
                <w:sz w:val="24"/>
                <w:szCs w:val="24"/>
                <w:lang w:val="en-US" w:eastAsia="zh-CN" w:bidi="ar-SA"/>
              </w:rPr>
              <w:t>总余氯</w:t>
            </w:r>
          </w:p>
        </w:tc>
        <w:tc>
          <w:tcPr>
            <w:tcW w:w="2135"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医疗机构水污染物排放标准GB 18466-2005</w:t>
            </w:r>
          </w:p>
        </w:tc>
        <w:tc>
          <w:tcPr>
            <w:tcW w:w="1307" w:type="dxa"/>
            <w:noWrap w:val="0"/>
            <w:tcMar>
              <w:top w:w="0" w:type="dxa"/>
              <w:left w:w="108" w:type="dxa"/>
              <w:bottom w:w="0" w:type="dxa"/>
              <w:right w:w="108" w:type="dxa"/>
            </w:tcMar>
            <w:vAlign w:val="center"/>
          </w:tcPr>
          <w:p>
            <w:pPr>
              <w:pStyle w:val="15"/>
              <w:widowControl w:val="0"/>
              <w:jc w:val="center"/>
              <w:rPr>
                <w:rStyle w:val="11"/>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cs="Times New Roman"/>
                <w:color w:val="auto"/>
                <w:kern w:val="2"/>
                <w:sz w:val="24"/>
                <w:szCs w:val="24"/>
                <w:lang w:val="en-US" w:eastAsia="zh-CN" w:bidi="ar-SA"/>
              </w:rPr>
              <w:t>2-8</w:t>
            </w:r>
          </w:p>
        </w:tc>
        <w:tc>
          <w:tcPr>
            <w:tcW w:w="908" w:type="dxa"/>
            <w:noWrap w:val="0"/>
            <w:tcMar>
              <w:top w:w="0" w:type="dxa"/>
              <w:left w:w="108" w:type="dxa"/>
              <w:bottom w:w="0" w:type="dxa"/>
              <w:right w:w="108" w:type="dxa"/>
            </w:tcMar>
            <w:vAlign w:val="center"/>
          </w:tcPr>
          <w:p>
            <w:pPr>
              <w:widowControl/>
              <w:snapToGrid w:val="0"/>
              <w:jc w:val="center"/>
              <w:rPr>
                <w:rStyle w:val="11"/>
                <w:rFonts w:hint="default" w:ascii="Times New Roman" w:hAnsi="Times New Roman" w:eastAsia="宋体" w:cs="Times New Roman"/>
                <w:color w:val="auto"/>
                <w:kern w:val="2"/>
                <w:sz w:val="24"/>
                <w:szCs w:val="24"/>
                <w:lang w:val="en-US" w:eastAsia="zh-CN" w:bidi="ar-SA"/>
              </w:rPr>
            </w:pPr>
            <w:r>
              <w:rPr>
                <w:rStyle w:val="11"/>
                <w:rFonts w:hint="eastAsia" w:ascii="Times New Roman" w:hAnsi="Times New Roman" w:eastAsia="宋体" w:cs="Times New Roman"/>
                <w:color w:val="auto"/>
                <w:kern w:val="2"/>
                <w:sz w:val="24"/>
                <w:szCs w:val="24"/>
                <w:lang w:val="en-US" w:eastAsia="zh-CN" w:bidi="ar-S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restart"/>
            <w:noWrap w:val="0"/>
            <w:vAlign w:val="center"/>
          </w:tcPr>
          <w:p>
            <w:pPr>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厂界噪声</w:t>
            </w:r>
          </w:p>
        </w:tc>
        <w:tc>
          <w:tcPr>
            <w:tcW w:w="254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东</w:t>
            </w:r>
            <w:r>
              <w:rPr>
                <w:rFonts w:hint="default" w:ascii="Times New Roman" w:hAnsi="Times New Roman" w:eastAsia="宋体" w:cs="Times New Roman"/>
                <w:color w:val="auto"/>
                <w:sz w:val="24"/>
                <w:szCs w:val="24"/>
              </w:rPr>
              <w:t>面边界外1米</w:t>
            </w:r>
          </w:p>
        </w:tc>
        <w:tc>
          <w:tcPr>
            <w:tcW w:w="170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2135"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GB12348-2008</w:t>
            </w: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昼间</w:t>
            </w:r>
            <w:r>
              <w:rPr>
                <w:rFonts w:hint="eastAsia" w:ascii="Times New Roman" w:hAnsi="Times New Roman" w:eastAsia="宋体" w:cs="Times New Roman"/>
                <w:color w:val="auto"/>
                <w:sz w:val="24"/>
                <w:szCs w:val="24"/>
                <w:lang w:val="en-US" w:eastAsia="zh-CN"/>
              </w:rPr>
              <w:t>55</w:t>
            </w:r>
          </w:p>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夜间</w:t>
            </w:r>
            <w:r>
              <w:rPr>
                <w:rFonts w:hint="eastAsia" w:ascii="Times New Roman" w:hAnsi="Times New Roman" w:eastAsia="宋体" w:cs="Times New Roman"/>
                <w:color w:val="auto"/>
                <w:sz w:val="24"/>
                <w:szCs w:val="24"/>
                <w:lang w:val="en-US" w:eastAsia="zh-CN"/>
              </w:rPr>
              <w:t>45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rPr>
              <w:t>面边界外1米</w:t>
            </w:r>
          </w:p>
        </w:tc>
        <w:tc>
          <w:tcPr>
            <w:tcW w:w="170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2135"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GB12348-2008</w:t>
            </w: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昼间</w:t>
            </w:r>
            <w:r>
              <w:rPr>
                <w:rFonts w:hint="eastAsia" w:ascii="Times New Roman" w:hAnsi="Times New Roman" w:eastAsia="宋体" w:cs="Times New Roman"/>
                <w:color w:val="auto"/>
                <w:sz w:val="24"/>
                <w:szCs w:val="24"/>
                <w:lang w:val="en-US" w:eastAsia="zh-CN"/>
              </w:rPr>
              <w:t>55</w:t>
            </w:r>
          </w:p>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夜间</w:t>
            </w:r>
            <w:r>
              <w:rPr>
                <w:rFonts w:hint="eastAsia" w:ascii="Times New Roman" w:hAnsi="Times New Roman" w:eastAsia="宋体" w:cs="Times New Roman"/>
                <w:color w:val="auto"/>
                <w:sz w:val="24"/>
                <w:szCs w:val="24"/>
                <w:lang w:val="en-US" w:eastAsia="zh-CN"/>
              </w:rPr>
              <w:t>45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西</w:t>
            </w:r>
            <w:r>
              <w:rPr>
                <w:rFonts w:hint="default" w:ascii="Times New Roman" w:hAnsi="Times New Roman" w:eastAsia="宋体" w:cs="Times New Roman"/>
                <w:color w:val="auto"/>
                <w:sz w:val="24"/>
                <w:szCs w:val="24"/>
              </w:rPr>
              <w:t>面边界外1米</w:t>
            </w:r>
          </w:p>
        </w:tc>
        <w:tc>
          <w:tcPr>
            <w:tcW w:w="170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2135"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GB12348-2008</w:t>
            </w: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昼间</w:t>
            </w:r>
            <w:r>
              <w:rPr>
                <w:rFonts w:hint="eastAsia" w:ascii="Times New Roman" w:hAnsi="Times New Roman" w:eastAsia="宋体" w:cs="Times New Roman"/>
                <w:color w:val="auto"/>
                <w:sz w:val="24"/>
                <w:szCs w:val="24"/>
                <w:lang w:val="en-US" w:eastAsia="zh-CN"/>
              </w:rPr>
              <w:t>55</w:t>
            </w:r>
          </w:p>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夜间</w:t>
            </w:r>
            <w:r>
              <w:rPr>
                <w:rFonts w:hint="eastAsia" w:ascii="Times New Roman" w:hAnsi="Times New Roman" w:eastAsia="宋体" w:cs="Times New Roman"/>
                <w:color w:val="auto"/>
                <w:sz w:val="24"/>
                <w:szCs w:val="24"/>
                <w:lang w:val="en-US" w:eastAsia="zh-CN"/>
              </w:rPr>
              <w:t>45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7" w:type="dxa"/>
            <w:vMerge w:val="continue"/>
            <w:noWrap w:val="0"/>
            <w:vAlign w:val="center"/>
          </w:tcPr>
          <w:p>
            <w:pPr>
              <w:widowControl/>
              <w:snapToGrid w:val="0"/>
              <w:jc w:val="center"/>
              <w:rPr>
                <w:rFonts w:hint="default" w:ascii="Times New Roman" w:hAnsi="Times New Roman" w:eastAsia="宋体" w:cs="Times New Roman"/>
                <w:color w:val="auto"/>
                <w:sz w:val="24"/>
                <w:szCs w:val="24"/>
              </w:rPr>
            </w:pPr>
          </w:p>
        </w:tc>
        <w:tc>
          <w:tcPr>
            <w:tcW w:w="2549"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rPr>
              <w:t>面边界外1米</w:t>
            </w:r>
          </w:p>
        </w:tc>
        <w:tc>
          <w:tcPr>
            <w:tcW w:w="1700"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2135"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GB12348-2008</w:t>
            </w:r>
          </w:p>
        </w:tc>
        <w:tc>
          <w:tcPr>
            <w:tcW w:w="1307"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昼间</w:t>
            </w:r>
            <w:r>
              <w:rPr>
                <w:rFonts w:hint="eastAsia" w:ascii="Times New Roman" w:hAnsi="Times New Roman" w:eastAsia="宋体" w:cs="Times New Roman"/>
                <w:color w:val="auto"/>
                <w:sz w:val="24"/>
                <w:szCs w:val="24"/>
                <w:lang w:val="en-US" w:eastAsia="zh-CN"/>
              </w:rPr>
              <w:t>55</w:t>
            </w:r>
          </w:p>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夜间</w:t>
            </w:r>
            <w:r>
              <w:rPr>
                <w:rFonts w:hint="eastAsia" w:ascii="Times New Roman" w:hAnsi="Times New Roman" w:eastAsia="宋体" w:cs="Times New Roman"/>
                <w:color w:val="auto"/>
                <w:sz w:val="24"/>
                <w:szCs w:val="24"/>
                <w:lang w:val="en-US" w:eastAsia="zh-CN"/>
              </w:rPr>
              <w:t>45</w:t>
            </w:r>
          </w:p>
        </w:tc>
        <w:tc>
          <w:tcPr>
            <w:tcW w:w="908" w:type="dxa"/>
            <w:noWrap w:val="0"/>
            <w:tcMar>
              <w:top w:w="0" w:type="dxa"/>
              <w:left w:w="108" w:type="dxa"/>
              <w:bottom w:w="0" w:type="dxa"/>
              <w:right w:w="108" w:type="dxa"/>
            </w:tcMar>
            <w:vAlign w:val="center"/>
          </w:tcPr>
          <w:p>
            <w:pPr>
              <w:widowControl/>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dB(A)</w:t>
            </w:r>
          </w:p>
        </w:tc>
      </w:tr>
    </w:tbl>
    <w:p>
      <w:pPr>
        <w:widowControl/>
        <w:shd w:val="clear" w:color="auto" w:fill="FFFFFF"/>
        <w:spacing w:before="217" w:beforeLines="50" w:line="360" w:lineRule="auto"/>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4、监测结果的公开</w:t>
      </w:r>
    </w:p>
    <w:p>
      <w:pPr>
        <w:widowControl/>
        <w:shd w:val="clear" w:color="auto" w:fill="FFFFFF"/>
        <w:spacing w:before="217" w:beforeLines="50" w:line="360" w:lineRule="auto"/>
        <w:outlineLvl w:val="1"/>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4.1监测结果的公开时限</w:t>
      </w:r>
    </w:p>
    <w:p>
      <w:pPr>
        <w:widowControl/>
        <w:shd w:val="clear" w:color="auto" w:fill="FFFFFF"/>
        <w:spacing w:before="217" w:beforeLines="50" w:line="360" w:lineRule="auto"/>
        <w:ind w:firstLine="560"/>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1.企业基础信息随监测数据一并公开。</w:t>
      </w:r>
    </w:p>
    <w:p>
      <w:pPr>
        <w:widowControl/>
        <w:shd w:val="clear" w:color="auto" w:fill="FFFFFF"/>
        <w:spacing w:before="217" w:beforeLines="50" w:line="360" w:lineRule="auto"/>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2.在线监测污染因子采用在线连续监测和手动监测相结合，公布在线仪表数据时，采用实时公报的方式，监测数据自动上传；在线监测设备故障时启动手工监测，手工监测结果在检测完成后次日公布。</w:t>
      </w:r>
    </w:p>
    <w:p>
      <w:pPr>
        <w:widowControl/>
        <w:shd w:val="clear" w:color="auto" w:fill="FFFFFF"/>
        <w:spacing w:before="217" w:beforeLines="50" w:line="360" w:lineRule="auto"/>
        <w:ind w:firstLine="560"/>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3.其余手工监测的污染因子在收到检测报告后次日完成公布。</w:t>
      </w:r>
    </w:p>
    <w:p>
      <w:pPr>
        <w:widowControl/>
        <w:shd w:val="clear" w:color="auto" w:fill="FFFFFF"/>
        <w:spacing w:before="217" w:beforeLines="50" w:line="360" w:lineRule="auto"/>
        <w:outlineLvl w:val="1"/>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4.2监测结果的公开方式</w:t>
      </w:r>
    </w:p>
    <w:p>
      <w:pPr>
        <w:widowControl/>
        <w:shd w:val="clear" w:color="auto" w:fill="FFFFFF"/>
        <w:spacing w:before="100" w:beforeAutospacing="1" w:after="100" w:afterAutospacing="1" w:line="360" w:lineRule="atLeast"/>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全国污染源监测信息管理与共享平台</w:t>
      </w:r>
    </w:p>
    <w:p>
      <w:pPr>
        <w:widowControl/>
        <w:shd w:val="clear" w:color="auto" w:fill="FFFFFF"/>
        <w:spacing w:before="100" w:beforeAutospacing="1" w:after="100" w:afterAutospacing="1" w:line="360" w:lineRule="atLeas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(https://wryjc.cnemc.cn/)</w:t>
      </w:r>
    </w:p>
    <w:p>
      <w:pPr>
        <w:widowControl/>
        <w:shd w:val="clear" w:color="auto" w:fill="FFFFFF"/>
        <w:spacing w:before="100" w:beforeAutospacing="1" w:after="100" w:afterAutospacing="1" w:line="360" w:lineRule="atLeas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广东省排污单位自行监测信息公开平台</w:t>
      </w:r>
    </w:p>
    <w:p>
      <w:pPr>
        <w:widowControl/>
        <w:shd w:val="clear" w:color="auto" w:fill="FFFFFF"/>
        <w:spacing w:before="100" w:beforeAutospacing="1" w:after="100" w:afterAutospacing="1" w:line="360" w:lineRule="atLeas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"https://wryjc.cnemc.cn/gkpt/mainZxjc/440000" </w:instrText>
      </w:r>
      <w:r>
        <w:rPr>
          <w:rFonts w:hint="default" w:ascii="Times New Roman" w:hAnsi="Times New Roman" w:eastAsia="宋体" w:cs="Times New Roman"/>
          <w:color w:val="auto"/>
          <w:sz w:val="28"/>
          <w:szCs w:val="28"/>
        </w:rPr>
        <w:fldChar w:fldCharType="separate"/>
      </w:r>
      <w:r>
        <w:rPr>
          <w:rStyle w:val="12"/>
          <w:rFonts w:hint="default" w:ascii="Times New Roman" w:hAnsi="Times New Roman" w:eastAsia="宋体" w:cs="Times New Roman"/>
          <w:color w:val="auto"/>
          <w:sz w:val="28"/>
          <w:szCs w:val="28"/>
        </w:rPr>
        <w:t>https://wryjc.cnemc.cn/gkpt/mainZxjc/440000</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t>)</w:t>
      </w:r>
    </w:p>
    <w:p>
      <w:pPr>
        <w:widowControl/>
        <w:shd w:val="clear" w:color="auto" w:fill="FFFFFF"/>
        <w:spacing w:before="100" w:beforeAutospacing="1" w:after="100" w:afterAutospacing="1" w:line="360" w:lineRule="atLeast"/>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5、监测方案的实施</w:t>
      </w:r>
    </w:p>
    <w:p>
      <w:pPr>
        <w:widowControl/>
        <w:shd w:val="clear" w:color="auto" w:fill="FFFFFF"/>
        <w:spacing w:before="217" w:beforeLines="50" w:line="360" w:lineRule="auto"/>
        <w:ind w:firstLine="560"/>
        <w:rPr>
          <w:rFonts w:hint="default" w:ascii="Times New Roman" w:hAnsi="Times New Roman" w:eastAsia="宋体" w:cs="Times New Roman"/>
          <w:b/>
          <w:color w:val="auto"/>
          <w:sz w:val="28"/>
          <w:szCs w:val="28"/>
        </w:rPr>
      </w:pPr>
      <w:r>
        <w:rPr>
          <w:rFonts w:hint="default" w:ascii="Times New Roman" w:hAnsi="Times New Roman" w:eastAsia="宋体" w:cs="Times New Roman"/>
          <w:color w:val="auto"/>
          <w:sz w:val="28"/>
          <w:szCs w:val="28"/>
        </w:rPr>
        <w:t>本监测方案于</w:t>
      </w:r>
      <w:r>
        <w:rPr>
          <w:rFonts w:hint="eastAsia" w:ascii="Times New Roman" w:hAnsi="Times New Roman" w:eastAsia="宋体" w:cs="Times New Roman"/>
          <w:color w:val="auto"/>
          <w:sz w:val="28"/>
          <w:szCs w:val="28"/>
          <w:lang w:val="en-US" w:eastAsia="zh-CN"/>
        </w:rPr>
        <w:t>排污许可证延续完成后</w:t>
      </w:r>
      <w:r>
        <w:rPr>
          <w:rFonts w:hint="default" w:ascii="Times New Roman" w:hAnsi="Times New Roman" w:eastAsia="宋体" w:cs="Times New Roman"/>
          <w:color w:val="auto"/>
          <w:sz w:val="28"/>
          <w:szCs w:val="28"/>
        </w:rPr>
        <w:t>开始执行。</w:t>
      </w:r>
    </w:p>
    <w:p>
      <w:pPr>
        <w:rPr>
          <w:rFonts w:hint="eastAsia" w:ascii="宋体" w:hAnsi="宋体" w:eastAsia="宋体" w:cs="宋体"/>
          <w:b w:val="0"/>
          <w:bCs w:val="0"/>
          <w:color w:val="000000"/>
          <w:sz w:val="24"/>
          <w:szCs w:val="24"/>
        </w:rPr>
        <w:sectPr>
          <w:pgSz w:w="16838" w:h="11906" w:orient="landscape"/>
          <w:pgMar w:top="1417" w:right="1440" w:bottom="1417" w:left="1440" w:header="851" w:footer="992" w:gutter="0"/>
          <w:cols w:space="720" w:num="1"/>
          <w:docGrid w:type="lines" w:linePitch="387" w:charSpace="0"/>
        </w:sectPr>
      </w:pPr>
    </w:p>
    <w:p>
      <w:pPr>
        <w:pStyle w:val="2"/>
        <w:rPr>
          <w:rFonts w:hint="eastAsia" w:ascii="宋体" w:hAnsi="宋体" w:eastAsia="宋体" w:cs="宋体"/>
          <w:b w:val="0"/>
          <w:bCs w:val="0"/>
          <w:sz w:val="24"/>
          <w:szCs w:val="24"/>
          <w:lang w:val="en-US" w:eastAsia="zh-CN"/>
        </w:rPr>
      </w:pPr>
    </w:p>
    <w:p>
      <w:pPr>
        <w:spacing w:before="120" w:beforeLines="50" w:line="360" w:lineRule="auto"/>
        <w:outlineLvl w:val="0"/>
        <w:rPr>
          <w:rFonts w:hint="eastAsia" w:ascii="宋体" w:hAnsi="宋体" w:eastAsia="宋体" w:cs="宋体"/>
          <w:b w:val="0"/>
          <w:bCs w:val="0"/>
          <w:sz w:val="24"/>
          <w:szCs w:val="24"/>
        </w:rPr>
      </w:pPr>
    </w:p>
    <w:p>
      <w:pPr>
        <w:rPr>
          <w:rFonts w:hint="eastAsia" w:ascii="宋体" w:hAnsi="宋体" w:eastAsia="宋体" w:cs="宋体"/>
          <w:b w:val="0"/>
          <w:bCs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t>第</w: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w:t>
    </w:r>
    <w:r>
      <w:rPr>
        <w:rFonts w:hint="eastAsia"/>
        <w:lang w:val="zh-CN"/>
      </w:rPr>
      <w:t>页 共</w:t>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12</w:t>
    </w:r>
    <w:r>
      <w:rPr>
        <w:b/>
        <w:sz w:val="24"/>
        <w:szCs w:val="24"/>
      </w:rP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left"/>
      <w:rPr>
        <w:rFonts w:hint="eastAsia"/>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CD241"/>
    <w:multiLevelType w:val="singleLevel"/>
    <w:tmpl w:val="977CD24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xN2RjNDYxNjlkNDk5YjllOGY1ODFlNWY2YjU4MzkifQ=="/>
  </w:docVars>
  <w:rsids>
    <w:rsidRoot w:val="1CD143B5"/>
    <w:rsid w:val="0A132FFA"/>
    <w:rsid w:val="0D1B6371"/>
    <w:rsid w:val="10B93BCB"/>
    <w:rsid w:val="1CD143B5"/>
    <w:rsid w:val="21323B0B"/>
    <w:rsid w:val="246671B6"/>
    <w:rsid w:val="261B4B25"/>
    <w:rsid w:val="29BA46B2"/>
    <w:rsid w:val="3A647EE6"/>
    <w:rsid w:val="546C6321"/>
    <w:rsid w:val="5FD40B1C"/>
    <w:rsid w:val="6FE02901"/>
    <w:rsid w:val="78F61132"/>
    <w:rsid w:val="7AEE6B60"/>
    <w:rsid w:val="7CFF3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pPr>
    <w:rPr>
      <w:sz w:val="24"/>
    </w:r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qFormat/>
    <w:uiPriority w:val="11"/>
    <w:pPr>
      <w:jc w:val="center"/>
    </w:pPr>
    <w:rPr>
      <w:rFonts w:ascii="Times New Roman" w:hAnsi="Times New Roman" w:eastAsia="仿宋_GB2312"/>
      <w:b/>
      <w:sz w:val="28"/>
      <w:szCs w:val="20"/>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1"/>
    <w:qFormat/>
    <w:uiPriority w:val="0"/>
    <w:pPr>
      <w:widowControl w:val="0"/>
      <w:ind w:firstLine="425"/>
      <w:jc w:val="both"/>
    </w:pPr>
    <w:rPr>
      <w:kern w:val="2"/>
      <w:sz w:val="24"/>
    </w:rPr>
  </w:style>
  <w:style w:type="character" w:styleId="12">
    <w:name w:val="Hyperlink"/>
    <w:qFormat/>
    <w:uiPriority w:val="0"/>
    <w:rPr>
      <w:color w:val="0000CC"/>
      <w:u w:val="single"/>
    </w:rPr>
  </w:style>
  <w:style w:type="paragraph" w:customStyle="1" w:styleId="1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4">
    <w:name w:val="NormalCharacter"/>
    <w:semiHidden/>
    <w:qFormat/>
    <w:uiPriority w:val="0"/>
  </w:style>
  <w:style w:type="paragraph" w:customStyle="1" w:styleId="15">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16">
    <w:name w:val="正文（首行缩进） Charjophy"/>
    <w:basedOn w:val="1"/>
    <w:qFormat/>
    <w:uiPriority w:val="4080"/>
    <w:pPr>
      <w:widowControl/>
      <w:spacing w:line="360" w:lineRule="auto"/>
      <w:ind w:firstLine="480"/>
    </w:pPr>
    <w:rPr>
      <w:kern w:val="1"/>
      <w:sz w:val="24"/>
    </w:rPr>
  </w:style>
  <w:style w:type="paragraph" w:customStyle="1" w:styleId="17">
    <w:name w:val="正文_23"/>
    <w:qFormat/>
    <w:uiPriority w:val="0"/>
    <w:pPr>
      <w:widowControl w:val="0"/>
      <w:jc w:val="both"/>
    </w:pPr>
    <w:rPr>
      <w:rFonts w:ascii="等线" w:hAnsi="等线" w:eastAsia="等线" w:cs="Times New Roman"/>
      <w:kern w:val="2"/>
      <w:sz w:val="21"/>
      <w:szCs w:val="22"/>
      <w:lang w:val="en-US" w:eastAsia="zh-CN" w:bidi="ar-SA"/>
    </w:rPr>
  </w:style>
  <w:style w:type="paragraph" w:customStyle="1" w:styleId="18">
    <w:name w:val="正文_19"/>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5135</Words>
  <Characters>6908</Characters>
  <Lines>0</Lines>
  <Paragraphs>0</Paragraphs>
  <TotalTime>5</TotalTime>
  <ScaleCrop>false</ScaleCrop>
  <LinksUpToDate>false</LinksUpToDate>
  <CharactersWithSpaces>7098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2022-10-12T08:54:00Z</dcterms:created>
  <dc:creator>Administrator</dc:creator>
  <cp:lastModifiedBy>イＺｈａＯり</cp:lastModifiedBy>
  <dcterms:modified xsi:type="dcterms:W3CDTF">2023-09-28T07:01:20Z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BB7ACE9ECD7B4F758EA4E6FBAA76BFD7_13</vt:lpwstr>
  </property>
</Properties>
</file>