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lang w:val="en-US" w:eastAsia="zh-CN"/>
        </w:rPr>
      </w:pPr>
      <w:r>
        <w:rPr>
          <w:rFonts w:hint="eastAsia"/>
          <w:b/>
          <w:bCs/>
          <w:sz w:val="28"/>
          <w:szCs w:val="28"/>
          <w:lang w:val="en-US" w:eastAsia="zh-CN"/>
        </w:rPr>
        <w:t>报价方案评分表</w:t>
      </w:r>
    </w:p>
    <w:p>
      <w:pPr>
        <w:pStyle w:val="2"/>
        <w:rPr>
          <w:rFonts w:hint="eastAsia"/>
          <w:lang w:val="en-US" w:eastAsia="zh-CN"/>
        </w:rPr>
      </w:pPr>
    </w:p>
    <w:p>
      <w:pPr>
        <w:pStyle w:val="2"/>
        <w:jc w:val="center"/>
        <w:rPr>
          <w:rFonts w:hint="eastAsia"/>
          <w:lang w:val="en-US" w:eastAsia="zh-CN"/>
        </w:rPr>
      </w:pPr>
      <w:r>
        <w:rPr>
          <w:rFonts w:hint="eastAsia"/>
          <w:lang w:val="en-US" w:eastAsia="zh-CN"/>
        </w:rPr>
        <w:t>（满分10分）</w:t>
      </w:r>
    </w:p>
    <w:p>
      <w:pPr>
        <w:pStyle w:val="3"/>
        <w:rPr>
          <w:rFonts w:hint="eastAsia"/>
          <w:lang w:val="en-US" w:eastAsia="zh-CN"/>
        </w:rPr>
      </w:pPr>
    </w:p>
    <w:tbl>
      <w:tblPr>
        <w:tblStyle w:val="5"/>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045"/>
        <w:gridCol w:w="6069"/>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jc w:val="center"/>
        </w:trPr>
        <w:tc>
          <w:tcPr>
            <w:tcW w:w="675" w:type="dxa"/>
            <w:vAlign w:val="center"/>
          </w:tcPr>
          <w:p>
            <w:pPr>
              <w:pStyle w:val="4"/>
              <w:tabs>
                <w:tab w:val="clear" w:pos="4153"/>
                <w:tab w:val="clear" w:pos="8306"/>
              </w:tabs>
              <w:snapToGrid/>
              <w:jc w:val="center"/>
              <w:rPr>
                <w:rFonts w:ascii="宋体" w:hAnsi="宋体" w:cs="宋体"/>
                <w:color w:val="000000"/>
                <w:sz w:val="21"/>
                <w:szCs w:val="21"/>
              </w:rPr>
            </w:pPr>
            <w:r>
              <w:rPr>
                <w:rFonts w:hint="eastAsia" w:ascii="宋体" w:hAnsi="宋体" w:cs="宋体"/>
                <w:color w:val="000000"/>
                <w:sz w:val="21"/>
                <w:szCs w:val="21"/>
              </w:rPr>
              <w:t>序号</w:t>
            </w:r>
          </w:p>
        </w:tc>
        <w:tc>
          <w:tcPr>
            <w:tcW w:w="2045" w:type="dxa"/>
            <w:vAlign w:val="center"/>
          </w:tcPr>
          <w:p>
            <w:pPr>
              <w:pStyle w:val="4"/>
              <w:tabs>
                <w:tab w:val="clear" w:pos="4153"/>
                <w:tab w:val="clear" w:pos="8306"/>
              </w:tabs>
              <w:snapToGrid/>
              <w:jc w:val="center"/>
              <w:rPr>
                <w:rFonts w:ascii="宋体" w:hAnsi="宋体" w:cs="宋体"/>
                <w:color w:val="000000"/>
                <w:sz w:val="21"/>
                <w:szCs w:val="21"/>
              </w:rPr>
            </w:pPr>
            <w:r>
              <w:rPr>
                <w:rFonts w:hint="eastAsia" w:ascii="宋体" w:hAnsi="宋体" w:cs="宋体"/>
                <w:color w:val="000000"/>
                <w:sz w:val="21"/>
                <w:szCs w:val="21"/>
              </w:rPr>
              <w:t>评审因素</w:t>
            </w:r>
          </w:p>
        </w:tc>
        <w:tc>
          <w:tcPr>
            <w:tcW w:w="6069" w:type="dxa"/>
            <w:vAlign w:val="center"/>
          </w:tcPr>
          <w:p>
            <w:pPr>
              <w:pStyle w:val="4"/>
              <w:tabs>
                <w:tab w:val="clear" w:pos="4153"/>
                <w:tab w:val="clear" w:pos="8306"/>
              </w:tabs>
              <w:snapToGrid/>
              <w:jc w:val="center"/>
              <w:rPr>
                <w:rFonts w:ascii="宋体" w:hAnsi="宋体" w:cs="宋体"/>
                <w:sz w:val="21"/>
                <w:szCs w:val="21"/>
              </w:rPr>
            </w:pPr>
            <w:r>
              <w:rPr>
                <w:rFonts w:hint="eastAsia" w:ascii="宋体" w:hAnsi="宋体" w:cs="宋体"/>
                <w:sz w:val="21"/>
                <w:szCs w:val="21"/>
              </w:rPr>
              <w:t>评分细则</w:t>
            </w:r>
          </w:p>
        </w:tc>
        <w:tc>
          <w:tcPr>
            <w:tcW w:w="752" w:type="dxa"/>
            <w:vAlign w:val="center"/>
          </w:tcPr>
          <w:p>
            <w:pPr>
              <w:pStyle w:val="4"/>
              <w:tabs>
                <w:tab w:val="clear" w:pos="4153"/>
                <w:tab w:val="clear" w:pos="8306"/>
              </w:tabs>
              <w:snapToGrid/>
              <w:jc w:val="center"/>
              <w:rPr>
                <w:rFonts w:ascii="宋体" w:hAnsi="宋体" w:cs="宋体"/>
                <w:sz w:val="21"/>
                <w:szCs w:val="21"/>
              </w:rPr>
            </w:pPr>
            <w:r>
              <w:rPr>
                <w:rFonts w:hint="eastAsia" w:ascii="宋体" w:hAnsi="宋体" w:cs="宋体"/>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5" w:hRule="atLeast"/>
          <w:jc w:val="center"/>
        </w:trPr>
        <w:tc>
          <w:tcPr>
            <w:tcW w:w="675" w:type="dxa"/>
            <w:vAlign w:val="center"/>
          </w:tcPr>
          <w:p>
            <w:pPr>
              <w:widowControl/>
              <w:jc w:val="center"/>
              <w:rPr>
                <w:rFonts w:ascii="宋体" w:hAnsi="宋体" w:cs="宋体"/>
                <w:color w:val="000000"/>
                <w:spacing w:val="15"/>
                <w:kern w:val="0"/>
                <w:szCs w:val="21"/>
                <w:shd w:val="clear" w:color="auto" w:fill="FFFFFF"/>
              </w:rPr>
            </w:pPr>
            <w:r>
              <w:rPr>
                <w:rFonts w:hint="eastAsia" w:ascii="宋体" w:hAnsi="宋体" w:cs="宋体"/>
                <w:color w:val="000000"/>
                <w:spacing w:val="15"/>
                <w:kern w:val="0"/>
                <w:szCs w:val="21"/>
                <w:shd w:val="clear" w:color="auto" w:fill="FFFFFF"/>
              </w:rPr>
              <w:t>1</w:t>
            </w:r>
          </w:p>
        </w:tc>
        <w:tc>
          <w:tcPr>
            <w:tcW w:w="2045" w:type="dxa"/>
            <w:vAlign w:val="center"/>
          </w:tcPr>
          <w:p>
            <w:pPr>
              <w:spacing w:line="276" w:lineRule="auto"/>
              <w:jc w:val="center"/>
              <w:rPr>
                <w:rFonts w:hint="default" w:ascii="宋体" w:hAnsi="宋体" w:cs="宋体" w:eastAsiaTheme="minorEastAsia"/>
                <w:szCs w:val="21"/>
                <w:lang w:val="en-US" w:eastAsia="zh-CN"/>
              </w:rPr>
            </w:pPr>
            <w:r>
              <w:rPr>
                <w:rFonts w:hint="eastAsia" w:ascii="宋体" w:hAnsi="宋体" w:cs="宋体"/>
                <w:szCs w:val="21"/>
                <w:lang w:val="en-US" w:eastAsia="zh-CN"/>
              </w:rPr>
              <w:t>报价方案</w:t>
            </w:r>
          </w:p>
        </w:tc>
        <w:tc>
          <w:tcPr>
            <w:tcW w:w="6069" w:type="dxa"/>
            <w:vAlign w:val="center"/>
          </w:tcPr>
          <w:p>
            <w:pPr>
              <w:spacing w:line="288" w:lineRule="auto"/>
              <w:rPr>
                <w:rFonts w:hint="eastAsia" w:ascii="宋体" w:hAnsi="宋体" w:cs="宋体"/>
                <w:szCs w:val="21"/>
              </w:rPr>
            </w:pPr>
            <w:r>
              <w:rPr>
                <w:rFonts w:hint="eastAsia" w:ascii="宋体" w:hAnsi="宋体" w:cs="宋体"/>
                <w:szCs w:val="21"/>
                <w:lang w:val="en-US" w:eastAsia="zh-CN"/>
              </w:rPr>
              <w:t>对各参选单位提供的第二次报价方案进行评比</w:t>
            </w:r>
            <w:r>
              <w:rPr>
                <w:rFonts w:hint="eastAsia" w:ascii="宋体" w:hAnsi="宋体" w:cs="宋体"/>
                <w:szCs w:val="21"/>
              </w:rPr>
              <w:t>。</w:t>
            </w:r>
          </w:p>
          <w:p>
            <w:pPr>
              <w:pStyle w:val="2"/>
            </w:pPr>
          </w:p>
          <w:p>
            <w:pPr>
              <w:numPr>
                <w:ilvl w:val="0"/>
                <w:numId w:val="1"/>
              </w:numPr>
              <w:spacing w:line="288" w:lineRule="auto"/>
              <w:rPr>
                <w:rFonts w:hint="eastAsia" w:ascii="宋体" w:hAnsi="宋体" w:cs="宋体"/>
                <w:szCs w:val="21"/>
              </w:rPr>
            </w:pPr>
            <w:r>
              <w:rPr>
                <w:rFonts w:hint="eastAsia" w:ascii="宋体" w:hAnsi="宋体" w:cs="宋体"/>
                <w:szCs w:val="21"/>
                <w:lang w:val="en-US" w:eastAsia="zh-CN"/>
              </w:rPr>
              <w:t>报价方案完全符合项目需求，收费标准、收费明细及报价合理清晰，性价比最高</w:t>
            </w:r>
            <w:r>
              <w:rPr>
                <w:rFonts w:hint="eastAsia" w:ascii="宋体" w:hAnsi="宋体" w:cs="宋体"/>
                <w:szCs w:val="21"/>
              </w:rPr>
              <w:t>，得</w:t>
            </w:r>
            <w:r>
              <w:rPr>
                <w:rFonts w:hint="eastAsia" w:ascii="宋体" w:hAnsi="宋体" w:cs="宋体"/>
                <w:szCs w:val="21"/>
                <w:lang w:val="en-US" w:eastAsia="zh-CN"/>
              </w:rPr>
              <w:t>10</w:t>
            </w:r>
            <w:r>
              <w:rPr>
                <w:rFonts w:hint="eastAsia" w:ascii="宋体" w:hAnsi="宋体" w:cs="宋体"/>
                <w:szCs w:val="21"/>
              </w:rPr>
              <w:t>分。</w:t>
            </w:r>
          </w:p>
          <w:p>
            <w:pPr>
              <w:pStyle w:val="2"/>
              <w:numPr>
                <w:ilvl w:val="0"/>
                <w:numId w:val="0"/>
              </w:numPr>
            </w:pPr>
          </w:p>
          <w:p>
            <w:pPr>
              <w:spacing w:line="288" w:lineRule="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报价方案完全符合项目需求，收费标准、收费明细及报价比较合理清晰，性价比一般</w:t>
            </w:r>
            <w:r>
              <w:rPr>
                <w:rFonts w:hint="eastAsia" w:ascii="宋体" w:hAnsi="宋体" w:cs="宋体"/>
                <w:szCs w:val="21"/>
              </w:rPr>
              <w:t>，得</w:t>
            </w:r>
            <w:r>
              <w:rPr>
                <w:rFonts w:hint="eastAsia" w:ascii="宋体" w:hAnsi="宋体" w:cs="宋体"/>
                <w:szCs w:val="21"/>
                <w:lang w:val="en-US" w:eastAsia="zh-CN"/>
              </w:rPr>
              <w:t>6</w:t>
            </w:r>
            <w:r>
              <w:rPr>
                <w:rFonts w:hint="eastAsia" w:ascii="宋体" w:hAnsi="宋体" w:cs="宋体"/>
                <w:szCs w:val="21"/>
              </w:rPr>
              <w:t>分。</w:t>
            </w:r>
          </w:p>
          <w:p>
            <w:pPr>
              <w:spacing w:line="288" w:lineRule="auto"/>
              <w:rPr>
                <w:rFonts w:ascii="宋体" w:hAnsi="宋体" w:cs="宋体"/>
                <w:szCs w:val="21"/>
              </w:rPr>
            </w:pPr>
          </w:p>
          <w:p>
            <w:pPr>
              <w:spacing w:line="288" w:lineRule="auto"/>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报价方案完全符合项目需求，收费标准、收费明细及报价合理性一般，性价比最低，</w:t>
            </w:r>
            <w:r>
              <w:rPr>
                <w:rFonts w:hint="eastAsia" w:ascii="宋体" w:hAnsi="宋体" w:cs="宋体"/>
                <w:szCs w:val="21"/>
              </w:rPr>
              <w:t>得</w:t>
            </w:r>
            <w:r>
              <w:rPr>
                <w:rFonts w:hint="eastAsia" w:ascii="宋体" w:hAnsi="宋体" w:cs="宋体"/>
                <w:szCs w:val="21"/>
                <w:lang w:val="en-US" w:eastAsia="zh-CN"/>
              </w:rPr>
              <w:t>2</w:t>
            </w:r>
            <w:r>
              <w:rPr>
                <w:rFonts w:hint="eastAsia" w:ascii="宋体" w:hAnsi="宋体" w:cs="宋体"/>
                <w:szCs w:val="21"/>
              </w:rPr>
              <w:t>分。</w:t>
            </w:r>
          </w:p>
          <w:p>
            <w:pPr>
              <w:spacing w:line="288" w:lineRule="auto"/>
              <w:rPr>
                <w:rFonts w:ascii="宋体" w:hAnsi="宋体" w:cs="宋体"/>
                <w:szCs w:val="21"/>
              </w:rPr>
            </w:pPr>
          </w:p>
          <w:p>
            <w:pPr>
              <w:spacing w:line="288" w:lineRule="auto"/>
              <w:rPr>
                <w:rFonts w:ascii="宋体" w:hAnsi="宋体" w:cs="宋体"/>
                <w:szCs w:val="21"/>
              </w:rPr>
            </w:pPr>
          </w:p>
        </w:tc>
        <w:tc>
          <w:tcPr>
            <w:tcW w:w="752" w:type="dxa"/>
            <w:vAlign w:val="center"/>
          </w:tcPr>
          <w:p>
            <w:pPr>
              <w:pStyle w:val="4"/>
              <w:tabs>
                <w:tab w:val="clear" w:pos="4153"/>
                <w:tab w:val="clear" w:pos="8306"/>
              </w:tabs>
              <w:snapToGrid/>
              <w:spacing w:line="276" w:lineRule="auto"/>
              <w:jc w:val="center"/>
              <w:rPr>
                <w:rFonts w:ascii="宋体" w:hAnsi="宋体" w:cs="宋体"/>
                <w:sz w:val="21"/>
                <w:szCs w:val="21"/>
              </w:rPr>
            </w:pPr>
            <w:r>
              <w:rPr>
                <w:rFonts w:hint="eastAsia" w:ascii="宋体" w:hAnsi="宋体" w:cs="宋体"/>
                <w:sz w:val="21"/>
                <w:szCs w:val="21"/>
                <w:lang w:val="en-US" w:eastAsia="zh-CN"/>
              </w:rPr>
              <w:t>10</w:t>
            </w:r>
            <w:r>
              <w:rPr>
                <w:rFonts w:hint="eastAsia"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789" w:type="dxa"/>
            <w:gridSpan w:val="3"/>
            <w:vAlign w:val="center"/>
          </w:tcPr>
          <w:p>
            <w:pPr>
              <w:pStyle w:val="4"/>
              <w:jc w:val="center"/>
              <w:rPr>
                <w:rFonts w:ascii="宋体" w:hAnsi="宋体" w:cs="宋体"/>
                <w:sz w:val="21"/>
                <w:szCs w:val="21"/>
              </w:rPr>
            </w:pPr>
            <w:r>
              <w:rPr>
                <w:rFonts w:hint="eastAsia" w:ascii="宋体" w:hAnsi="宋体" w:cs="宋体"/>
                <w:sz w:val="21"/>
                <w:szCs w:val="21"/>
              </w:rPr>
              <w:t>合计</w:t>
            </w:r>
          </w:p>
        </w:tc>
        <w:tc>
          <w:tcPr>
            <w:tcW w:w="752" w:type="dxa"/>
            <w:vAlign w:val="center"/>
          </w:tcPr>
          <w:p>
            <w:pPr>
              <w:jc w:val="center"/>
              <w:rPr>
                <w:rFonts w:ascii="宋体" w:hAnsi="宋体" w:cs="宋体"/>
                <w:szCs w:val="21"/>
              </w:rPr>
            </w:pPr>
            <w:r>
              <w:rPr>
                <w:rFonts w:hint="eastAsia" w:ascii="宋体" w:hAnsi="宋体" w:cs="宋体"/>
                <w:szCs w:val="21"/>
                <w:lang w:val="en-US" w:eastAsia="zh-CN"/>
              </w:rPr>
              <w:t>10</w:t>
            </w:r>
            <w:r>
              <w:rPr>
                <w:rFonts w:hint="eastAsia" w:ascii="宋体" w:hAnsi="宋体" w:cs="宋体"/>
                <w:szCs w:val="21"/>
              </w:rPr>
              <w:t>分</w:t>
            </w:r>
          </w:p>
        </w:tc>
      </w:tr>
    </w:tbl>
    <w:p>
      <w:pPr>
        <w:rPr>
          <w:rFonts w:hint="default"/>
          <w:lang w:val="en-US" w:eastAsia="zh-CN"/>
        </w:rPr>
      </w:pPr>
    </w:p>
    <w:p>
      <w:pPr>
        <w:pStyle w:val="3"/>
        <w:spacing w:line="48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评分方法：</w:t>
      </w:r>
    </w:p>
    <w:p>
      <w:pPr>
        <w:pStyle w:val="3"/>
        <w:numPr>
          <w:ilvl w:val="0"/>
          <w:numId w:val="0"/>
        </w:numPr>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1、各评审专家成员分别就各个</w:t>
      </w:r>
      <w:bookmarkStart w:id="0" w:name="_GoBack"/>
      <w:bookmarkEnd w:id="0"/>
      <w:r>
        <w:rPr>
          <w:rFonts w:hint="eastAsia" w:ascii="宋体" w:hAnsi="宋体" w:eastAsia="宋体" w:cs="宋体"/>
          <w:sz w:val="21"/>
          <w:szCs w:val="21"/>
          <w:lang w:val="en-US" w:eastAsia="zh-CN"/>
        </w:rPr>
        <w:t>参选单位的报价方案情况进行评议和比较，评出其得分；</w:t>
      </w:r>
    </w:p>
    <w:p>
      <w:pPr>
        <w:pStyle w:val="3"/>
        <w:numPr>
          <w:ilvl w:val="0"/>
          <w:numId w:val="0"/>
        </w:numPr>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2、各评审专家的报价方案得分的算术平均值即为该参选单位的最终得分；</w:t>
      </w:r>
    </w:p>
    <w:p>
      <w:pPr>
        <w:numPr>
          <w:ilvl w:val="0"/>
          <w:numId w:val="0"/>
        </w:numPr>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3、如最终得分相同的参选单位，由评委会采取随机抽取的方式确定；</w:t>
      </w:r>
    </w:p>
    <w:p>
      <w:pPr>
        <w:numPr>
          <w:ilvl w:val="0"/>
          <w:numId w:val="0"/>
        </w:numPr>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4、推荐报价方案得分排名第一的经院级领导确认后，为拟中选参选单位。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CCAA3"/>
    <w:multiLevelType w:val="singleLevel"/>
    <w:tmpl w:val="ADBCCAA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ODIwYTYxMTk2ZjBlOWNiZWFiMTNlNDRkZTBkNGIifQ=="/>
  </w:docVars>
  <w:rsids>
    <w:rsidRoot w:val="00000000"/>
    <w:rsid w:val="0B0D62AE"/>
    <w:rsid w:val="1B023937"/>
    <w:rsid w:val="2DE6007B"/>
    <w:rsid w:val="34CA155F"/>
    <w:rsid w:val="36712F58"/>
    <w:rsid w:val="3D2E32B3"/>
    <w:rsid w:val="3F3265D6"/>
    <w:rsid w:val="49D86319"/>
    <w:rsid w:val="5F16521D"/>
    <w:rsid w:val="6663343E"/>
    <w:rsid w:val="72201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60" w:lineRule="exact"/>
    </w:pPr>
    <w:rPr>
      <w:rFonts w:ascii="宋体" w:hAnsi="宋体"/>
      <w:sz w:val="24"/>
    </w:rPr>
  </w:style>
  <w:style w:type="paragraph" w:styleId="3">
    <w:name w:val="toc 5"/>
    <w:basedOn w:val="1"/>
    <w:next w:val="1"/>
    <w:qFormat/>
    <w:uiPriority w:val="0"/>
    <w:pPr>
      <w:ind w:left="840"/>
      <w:jc w:val="left"/>
    </w:pPr>
    <w:rPr>
      <w:szCs w:val="21"/>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322</Words>
  <Characters>326</Characters>
  <Lines>0</Lines>
  <Paragraphs>0</Paragraphs>
  <TotalTime>10</TotalTime>
  <ScaleCrop>false</ScaleCrop>
  <LinksUpToDate>false</LinksUpToDate>
  <CharactersWithSpaces>326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2023-01-12T09:57:00Z</dcterms:created>
  <dc:creator>Administrator</dc:creator>
  <cp:lastModifiedBy>智文</cp:lastModifiedBy>
  <dcterms:modified xsi:type="dcterms:W3CDTF">2023-01-13T11:00:36Z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6F704595BC4D4A01A18B74D2A565843C</vt:lpwstr>
  </property>
</Properties>
</file>